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B5" w:rsidRDefault="00277C0E" w:rsidP="00277C0E">
      <w:pPr>
        <w:pStyle w:val="Footer"/>
        <w:tabs>
          <w:tab w:val="clear" w:pos="4320"/>
          <w:tab w:val="clear" w:pos="8640"/>
          <w:tab w:val="left" w:pos="7825"/>
        </w:tabs>
        <w:ind w:hanging="450"/>
        <w:rPr>
          <w:sz w:val="32"/>
        </w:rPr>
      </w:pPr>
      <w:r>
        <w:rPr>
          <w:sz w:val="32"/>
        </w:rPr>
        <w:tab/>
      </w:r>
      <w:r>
        <w:rPr>
          <w:sz w:val="32"/>
        </w:rPr>
        <w:tab/>
      </w:r>
    </w:p>
    <w:p w:rsidR="003A6D05" w:rsidRDefault="003A6D05" w:rsidP="003A6D05">
      <w:pPr>
        <w:pStyle w:val="Footer"/>
        <w:rPr>
          <w:sz w:val="32"/>
        </w:rPr>
        <w:sectPr w:rsidR="003A6D05" w:rsidSect="00374D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432" w:gutter="0"/>
          <w:pgNumType w:start="1"/>
          <w:cols w:space="720"/>
          <w:titlePg/>
          <w:docGrid w:linePitch="360"/>
        </w:sectPr>
      </w:pPr>
    </w:p>
    <w:p w:rsidR="003A6D05" w:rsidRDefault="003A6D05" w:rsidP="003A6D05">
      <w:pPr>
        <w:rPr>
          <w:b/>
          <w:bCs/>
          <w:color w:val="000000"/>
          <w:sz w:val="16"/>
          <w:szCs w:val="16"/>
        </w:rPr>
      </w:pPr>
      <w:r>
        <w:rPr>
          <w:b/>
          <w:bCs/>
          <w:color w:val="000000"/>
          <w:sz w:val="16"/>
          <w:szCs w:val="16"/>
        </w:rPr>
        <w:br/>
      </w:r>
    </w:p>
    <w:p w:rsidR="00132553" w:rsidRDefault="00132553" w:rsidP="009D3311">
      <w:pPr>
        <w:ind w:right="540"/>
        <w:rPr>
          <w:sz w:val="32"/>
        </w:rPr>
      </w:pPr>
    </w:p>
    <w:p w:rsidR="00704205" w:rsidRDefault="00704205" w:rsidP="009D3311">
      <w:pPr>
        <w:ind w:right="540"/>
        <w:rPr>
          <w:b/>
          <w:bCs/>
          <w:color w:val="000000"/>
          <w:sz w:val="16"/>
          <w:szCs w:val="16"/>
        </w:rPr>
      </w:pPr>
    </w:p>
    <w:p w:rsidR="004D5EBD" w:rsidRDefault="004D5EBD" w:rsidP="009D3311">
      <w:pPr>
        <w:ind w:right="540"/>
        <w:rPr>
          <w:b/>
          <w:bCs/>
          <w:color w:val="000000"/>
          <w:sz w:val="16"/>
          <w:szCs w:val="16"/>
        </w:rPr>
      </w:pPr>
    </w:p>
    <w:p w:rsidR="004D5EBD" w:rsidRDefault="004D5EBD" w:rsidP="009D3311">
      <w:pPr>
        <w:ind w:right="540"/>
        <w:rPr>
          <w:b/>
          <w:bCs/>
          <w:color w:val="000000"/>
          <w:sz w:val="16"/>
          <w:szCs w:val="16"/>
        </w:rPr>
      </w:pPr>
    </w:p>
    <w:p w:rsidR="001639AF" w:rsidRDefault="001639AF" w:rsidP="009368BC">
      <w:pPr>
        <w:ind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rsidR="001639AF" w:rsidRDefault="001639AF" w:rsidP="009368BC">
      <w:pPr>
        <w:ind w:right="540"/>
        <w:rPr>
          <w:sz w:val="16"/>
          <w:szCs w:val="16"/>
        </w:rPr>
      </w:pPr>
    </w:p>
    <w:p w:rsidR="009368BC" w:rsidRPr="00FE77BB" w:rsidRDefault="009368BC" w:rsidP="009368BC">
      <w:pPr>
        <w:ind w:right="540"/>
        <w:rPr>
          <w:color w:val="000000"/>
          <w:sz w:val="18"/>
        </w:rPr>
      </w:pPr>
      <w:r>
        <w:rPr>
          <w:b/>
          <w:bCs/>
          <w:color w:val="000000"/>
          <w:sz w:val="16"/>
          <w:szCs w:val="16"/>
        </w:rPr>
        <w:t xml:space="preserve">Applicability.  </w:t>
      </w:r>
      <w:r w:rsidR="00A67243" w:rsidRPr="00814F8B">
        <w:rPr>
          <w:bCs/>
          <w:color w:val="000000"/>
          <w:sz w:val="16"/>
          <w:szCs w:val="16"/>
        </w:rPr>
        <w:t>F</w:t>
      </w:r>
      <w:r w:rsidRPr="00814F8B">
        <w:rPr>
          <w:bCs/>
          <w:color w:val="000000"/>
          <w:sz w:val="16"/>
          <w:szCs w:val="16"/>
        </w:rPr>
        <w:t>orm</w:t>
      </w:r>
      <w:r w:rsidR="00A67243" w:rsidRPr="00814F8B">
        <w:rPr>
          <w:bCs/>
          <w:color w:val="000000"/>
          <w:sz w:val="16"/>
          <w:szCs w:val="16"/>
        </w:rPr>
        <w:t xml:space="preserve"> HUD-50075-HP </w:t>
      </w:r>
      <w:r w:rsidRPr="00814F8B">
        <w:rPr>
          <w:bCs/>
          <w:color w:val="000000"/>
          <w:sz w:val="16"/>
          <w:szCs w:val="16"/>
        </w:rPr>
        <w:t>is to be completed</w:t>
      </w:r>
      <w:r w:rsidR="000A0235" w:rsidRPr="00FE77BB">
        <w:rPr>
          <w:color w:val="000000"/>
          <w:sz w:val="16"/>
        </w:rPr>
        <w:t xml:space="preserve"> </w:t>
      </w:r>
      <w:r w:rsidR="000A0235" w:rsidRPr="00814F8B">
        <w:rPr>
          <w:bCs/>
          <w:color w:val="000000"/>
          <w:sz w:val="16"/>
          <w:szCs w:val="16"/>
        </w:rPr>
        <w:t>annually</w:t>
      </w:r>
      <w:r w:rsidRPr="00814F8B">
        <w:rPr>
          <w:b/>
          <w:bCs/>
          <w:color w:val="000000"/>
          <w:sz w:val="16"/>
          <w:szCs w:val="16"/>
        </w:rPr>
        <w:t xml:space="preserve"> </w:t>
      </w:r>
      <w:r w:rsidRPr="00814F8B">
        <w:rPr>
          <w:bCs/>
          <w:color w:val="000000"/>
          <w:sz w:val="16"/>
          <w:szCs w:val="16"/>
        </w:rPr>
        <w:t>by</w:t>
      </w:r>
      <w:r w:rsidRPr="00FE77BB">
        <w:rPr>
          <w:b/>
          <w:color w:val="000000"/>
          <w:sz w:val="16"/>
        </w:rPr>
        <w:t xml:space="preserve"> High Performing PHAs</w:t>
      </w:r>
      <w:r w:rsidRPr="00FE77BB">
        <w:rPr>
          <w:color w:val="000000"/>
          <w:sz w:val="16"/>
        </w:rPr>
        <w:t xml:space="preserve">.  PHAs that meet the definition of a Standard PHA, Troubled PHA, HCV-Only PHA, </w:t>
      </w:r>
      <w:r w:rsidR="00814F8B">
        <w:rPr>
          <w:bCs/>
          <w:color w:val="000000"/>
          <w:sz w:val="16"/>
          <w:szCs w:val="16"/>
        </w:rPr>
        <w:t xml:space="preserve">Small PHA, </w:t>
      </w:r>
      <w:r w:rsidRPr="00FE77BB">
        <w:rPr>
          <w:color w:val="000000"/>
          <w:sz w:val="16"/>
        </w:rPr>
        <w:t xml:space="preserve">or Qualified PHA </w:t>
      </w:r>
      <w:r w:rsidRPr="00FE77BB">
        <w:rPr>
          <w:color w:val="000000"/>
          <w:sz w:val="16"/>
          <w:u w:val="single"/>
        </w:rPr>
        <w:t>do not</w:t>
      </w:r>
      <w:r w:rsidRPr="00FE77BB">
        <w:rPr>
          <w:color w:val="000000"/>
          <w:sz w:val="16"/>
        </w:rPr>
        <w:t xml:space="preserve"> need to submit this form.</w:t>
      </w:r>
      <w:r w:rsidRPr="00814F8B">
        <w:rPr>
          <w:bCs/>
          <w:color w:val="000000"/>
          <w:sz w:val="18"/>
          <w:szCs w:val="18"/>
        </w:rPr>
        <w:t xml:space="preserve"> </w:t>
      </w:r>
    </w:p>
    <w:p w:rsidR="00B60FB0" w:rsidRDefault="00B60FB0" w:rsidP="009D3311">
      <w:pPr>
        <w:ind w:right="540"/>
        <w:rPr>
          <w:b/>
          <w:bCs/>
          <w:color w:val="000000"/>
          <w:sz w:val="16"/>
          <w:szCs w:val="16"/>
        </w:rPr>
      </w:pPr>
    </w:p>
    <w:p w:rsidR="003A6D05" w:rsidRDefault="003A6D05" w:rsidP="003A6D05">
      <w:pPr>
        <w:ind w:right="540"/>
        <w:rPr>
          <w:b/>
          <w:bCs/>
          <w:color w:val="000000"/>
          <w:sz w:val="16"/>
          <w:szCs w:val="16"/>
        </w:rPr>
      </w:pPr>
      <w:r>
        <w:rPr>
          <w:b/>
          <w:bCs/>
          <w:color w:val="000000"/>
          <w:sz w:val="16"/>
          <w:szCs w:val="16"/>
        </w:rPr>
        <w:t xml:space="preserve">Definitions.  </w:t>
      </w:r>
    </w:p>
    <w:p w:rsidR="008A766F" w:rsidRDefault="008A766F" w:rsidP="003A6D05">
      <w:pPr>
        <w:ind w:right="540"/>
        <w:rPr>
          <w:b/>
          <w:bCs/>
          <w:color w:val="000000"/>
          <w:sz w:val="16"/>
          <w:szCs w:val="16"/>
        </w:rPr>
      </w:pPr>
    </w:p>
    <w:p w:rsidR="00B01600"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sidR="004D5F68">
        <w:rPr>
          <w:sz w:val="16"/>
          <w:szCs w:val="16"/>
        </w:rPr>
        <w:t xml:space="preserve">more than 550 combined </w:t>
      </w:r>
      <w:r w:rsidRPr="008C0688">
        <w:rPr>
          <w:sz w:val="16"/>
          <w:szCs w:val="16"/>
        </w:rPr>
        <w:t xml:space="preserve">public </w:t>
      </w:r>
      <w:r w:rsidR="004D5F68">
        <w:rPr>
          <w:sz w:val="16"/>
          <w:szCs w:val="16"/>
        </w:rPr>
        <w:t xml:space="preserve">housing units and housing choice vouchers, </w:t>
      </w:r>
      <w:r w:rsidRPr="008C0688">
        <w:rPr>
          <w:sz w:val="16"/>
          <w:szCs w:val="16"/>
        </w:rPr>
        <w:t xml:space="preserve">and was </w:t>
      </w:r>
      <w:r w:rsidR="00C06855">
        <w:rPr>
          <w:sz w:val="16"/>
          <w:szCs w:val="16"/>
        </w:rPr>
        <w:t>designated as a high performer o</w:t>
      </w:r>
      <w:r w:rsidRPr="008C0688">
        <w:rPr>
          <w:sz w:val="16"/>
          <w:szCs w:val="16"/>
        </w:rPr>
        <w:t xml:space="preserve">n </w:t>
      </w:r>
      <w:proofErr w:type="gramStart"/>
      <w:r w:rsidRPr="008C0688">
        <w:rPr>
          <w:sz w:val="16"/>
          <w:szCs w:val="16"/>
          <w:u w:val="single"/>
        </w:rPr>
        <w:t xml:space="preserve">both </w:t>
      </w:r>
      <w:r w:rsidRPr="008C0688">
        <w:rPr>
          <w:sz w:val="16"/>
          <w:szCs w:val="16"/>
        </w:rPr>
        <w:t>of the most</w:t>
      </w:r>
      <w:proofErr w:type="gramEnd"/>
      <w:r w:rsidRPr="008C0688">
        <w:rPr>
          <w:sz w:val="16"/>
          <w:szCs w:val="16"/>
        </w:rPr>
        <w:t xml:space="preserve"> recent </w:t>
      </w:r>
      <w:r w:rsidR="00C06855">
        <w:rPr>
          <w:sz w:val="16"/>
          <w:szCs w:val="16"/>
        </w:rPr>
        <w:t>Public Housing Assessment System (</w:t>
      </w:r>
      <w:r w:rsidRPr="008C0688">
        <w:rPr>
          <w:sz w:val="16"/>
          <w:szCs w:val="16"/>
        </w:rPr>
        <w:t>PHAS</w:t>
      </w:r>
      <w:r w:rsidR="00C06855">
        <w:rPr>
          <w:sz w:val="16"/>
          <w:szCs w:val="16"/>
        </w:rPr>
        <w:t>)</w:t>
      </w:r>
      <w:r w:rsidRPr="008C0688">
        <w:rPr>
          <w:sz w:val="16"/>
          <w:szCs w:val="16"/>
        </w:rPr>
        <w:t xml:space="preserve"> and </w:t>
      </w:r>
      <w:r w:rsidR="00C06855">
        <w:rPr>
          <w:sz w:val="16"/>
          <w:szCs w:val="16"/>
        </w:rPr>
        <w:t>Section Eight Management Assessment Program (</w:t>
      </w:r>
      <w:r w:rsidRPr="008C0688">
        <w:rPr>
          <w:sz w:val="16"/>
          <w:szCs w:val="16"/>
        </w:rPr>
        <w:t>SEMAP</w:t>
      </w:r>
      <w:r w:rsidR="00C06855">
        <w:rPr>
          <w:sz w:val="16"/>
          <w:szCs w:val="16"/>
        </w:rPr>
        <w:t>)</w:t>
      </w:r>
      <w:r w:rsidRPr="008C0688">
        <w:rPr>
          <w:sz w:val="16"/>
          <w:szCs w:val="16"/>
        </w:rPr>
        <w:t xml:space="preserve"> assessments.</w:t>
      </w:r>
    </w:p>
    <w:p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C06855">
        <w:rPr>
          <w:bCs/>
          <w:sz w:val="16"/>
          <w:szCs w:val="16"/>
        </w:rPr>
        <w:t xml:space="preserve">or SEMAP </w:t>
      </w:r>
      <w:r w:rsidRPr="008C0688">
        <w:rPr>
          <w:bCs/>
          <w:sz w:val="16"/>
          <w:szCs w:val="16"/>
        </w:rPr>
        <w:t>troubled</w:t>
      </w:r>
      <w:r w:rsidR="009D6B42">
        <w:rPr>
          <w:bCs/>
          <w:sz w:val="16"/>
          <w:szCs w:val="16"/>
        </w:rPr>
        <w:t>,</w:t>
      </w:r>
      <w:r w:rsidRPr="008C0688">
        <w:rPr>
          <w:bCs/>
          <w:sz w:val="16"/>
          <w:szCs w:val="16"/>
        </w:rPr>
        <w:t xml:space="preserve"> or</w:t>
      </w:r>
      <w:r w:rsidR="00C06855">
        <w:rPr>
          <w:bCs/>
          <w:sz w:val="16"/>
          <w:szCs w:val="16"/>
        </w:rPr>
        <w:t xml:space="preserve"> at risk of being designated as</w:t>
      </w:r>
      <w:r w:rsidR="009D6B42">
        <w:rPr>
          <w:bCs/>
          <w:sz w:val="16"/>
          <w:szCs w:val="16"/>
        </w:rPr>
        <w:t xml:space="preserve"> </w:t>
      </w:r>
      <w:r w:rsidRPr="008C0688">
        <w:rPr>
          <w:bCs/>
          <w:sz w:val="16"/>
          <w:szCs w:val="16"/>
        </w:rPr>
        <w:t>troubled</w:t>
      </w:r>
      <w:r w:rsidR="004D5F68">
        <w:rPr>
          <w:bCs/>
          <w:sz w:val="16"/>
          <w:szCs w:val="16"/>
        </w:rPr>
        <w:t xml:space="preserve">, </w:t>
      </w:r>
      <w:r w:rsidR="00C06855">
        <w:rPr>
          <w:bCs/>
          <w:sz w:val="16"/>
          <w:szCs w:val="16"/>
        </w:rPr>
        <w:t xml:space="preserve">and </w:t>
      </w:r>
      <w:r w:rsidR="00A67243">
        <w:rPr>
          <w:bCs/>
          <w:sz w:val="16"/>
          <w:szCs w:val="16"/>
        </w:rPr>
        <w:t>that owns or manages</w:t>
      </w:r>
      <w:r w:rsidRPr="008C0688">
        <w:rPr>
          <w:bCs/>
          <w:sz w:val="16"/>
          <w:szCs w:val="16"/>
        </w:rPr>
        <w:t xml:space="preserve"> less than 250 public housing units and any number of vouchers where the total combined units exceeds 550.</w:t>
      </w:r>
    </w:p>
    <w:p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w:t>
      </w:r>
      <w:r w:rsidR="00C06855">
        <w:rPr>
          <w:sz w:val="16"/>
          <w:szCs w:val="16"/>
        </w:rPr>
        <w:t xml:space="preserve">designated as troubled in its </w:t>
      </w:r>
      <w:r w:rsidRPr="008C0688">
        <w:rPr>
          <w:sz w:val="16"/>
          <w:szCs w:val="16"/>
        </w:rPr>
        <w:t xml:space="preserve">most recent </w:t>
      </w:r>
      <w:r w:rsidR="00A67243">
        <w:rPr>
          <w:sz w:val="16"/>
          <w:szCs w:val="16"/>
        </w:rPr>
        <w:t xml:space="preserve">SEMAP </w:t>
      </w:r>
      <w:r w:rsidRPr="008C0688">
        <w:rPr>
          <w:sz w:val="16"/>
          <w:szCs w:val="16"/>
        </w:rPr>
        <w:t>assessment</w:t>
      </w:r>
      <w:r w:rsidR="00C06855">
        <w:rPr>
          <w:sz w:val="16"/>
          <w:szCs w:val="16"/>
        </w:rPr>
        <w:t>, and does not own or manage</w:t>
      </w:r>
      <w:r w:rsidRPr="008C0688">
        <w:rPr>
          <w:sz w:val="16"/>
          <w:szCs w:val="16"/>
        </w:rPr>
        <w:t xml:space="preserve"> public housing.  </w:t>
      </w:r>
    </w:p>
    <w:p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standard performer in the most recent PHAS</w:t>
      </w:r>
      <w:r w:rsidR="00C06855">
        <w:rPr>
          <w:sz w:val="16"/>
          <w:szCs w:val="16"/>
        </w:rPr>
        <w:t xml:space="preserve"> </w:t>
      </w:r>
      <w:r w:rsidR="002C3798">
        <w:rPr>
          <w:sz w:val="16"/>
          <w:szCs w:val="16"/>
        </w:rPr>
        <w:t>or</w:t>
      </w:r>
      <w:r w:rsidR="00C06855">
        <w:rPr>
          <w:sz w:val="16"/>
          <w:szCs w:val="16"/>
        </w:rPr>
        <w:t xml:space="preserve"> </w:t>
      </w:r>
      <w:r w:rsidRPr="008C0688">
        <w:rPr>
          <w:sz w:val="16"/>
          <w:szCs w:val="16"/>
        </w:rPr>
        <w:t>SEMAP assessments.</w:t>
      </w:r>
    </w:p>
    <w:p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rsidTr="00FB7120">
        <w:trPr>
          <w:gridAfter w:val="1"/>
          <w:wAfter w:w="9720" w:type="dxa"/>
          <w:trHeight w:val="461"/>
        </w:trPr>
        <w:tc>
          <w:tcPr>
            <w:tcW w:w="540" w:type="dxa"/>
            <w:shd w:val="clear" w:color="auto" w:fill="BFBFBF"/>
          </w:tcPr>
          <w:p w:rsidR="006C60B5" w:rsidRPr="006C60B5" w:rsidRDefault="006C60B5" w:rsidP="00A203E5">
            <w:pPr>
              <w:jc w:val="center"/>
              <w:rPr>
                <w:b/>
                <w:sz w:val="20"/>
                <w:szCs w:val="20"/>
              </w:rPr>
            </w:pPr>
          </w:p>
          <w:p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rsidR="006C60B5" w:rsidRPr="006C60B5" w:rsidRDefault="006C60B5" w:rsidP="00A203E5">
            <w:pPr>
              <w:rPr>
                <w:b/>
                <w:sz w:val="20"/>
                <w:szCs w:val="20"/>
              </w:rPr>
            </w:pPr>
          </w:p>
          <w:p w:rsidR="006C60B5" w:rsidRPr="006C60B5" w:rsidRDefault="006C60B5" w:rsidP="00A203E5">
            <w:pPr>
              <w:rPr>
                <w:b/>
                <w:sz w:val="20"/>
                <w:szCs w:val="20"/>
              </w:rPr>
            </w:pPr>
            <w:r w:rsidRPr="006C60B5">
              <w:rPr>
                <w:b/>
                <w:sz w:val="20"/>
                <w:szCs w:val="20"/>
              </w:rPr>
              <w:t>PHA Information.</w:t>
            </w:r>
          </w:p>
          <w:p w:rsidR="006C60B5" w:rsidRPr="006C60B5" w:rsidRDefault="006C60B5" w:rsidP="00A203E5">
            <w:pPr>
              <w:rPr>
                <w:bCs/>
                <w:sz w:val="20"/>
                <w:szCs w:val="20"/>
              </w:rPr>
            </w:pPr>
          </w:p>
        </w:tc>
      </w:tr>
      <w:tr w:rsidR="006C60B5" w:rsidRPr="00445D7F" w:rsidTr="00FB7120">
        <w:trPr>
          <w:gridAfter w:val="1"/>
          <w:wAfter w:w="9720" w:type="dxa"/>
          <w:trHeight w:val="2161"/>
        </w:trPr>
        <w:tc>
          <w:tcPr>
            <w:tcW w:w="540" w:type="dxa"/>
            <w:vMerge w:val="restart"/>
          </w:tcPr>
          <w:p w:rsidR="00D158FC" w:rsidRDefault="00D158FC" w:rsidP="00A203E5">
            <w:pPr>
              <w:jc w:val="center"/>
              <w:rPr>
                <w:b/>
                <w:sz w:val="16"/>
                <w:szCs w:val="16"/>
              </w:rPr>
            </w:pPr>
          </w:p>
          <w:p w:rsidR="006C60B5" w:rsidRDefault="006C60B5" w:rsidP="00A203E5">
            <w:pPr>
              <w:jc w:val="center"/>
              <w:rPr>
                <w:b/>
                <w:sz w:val="16"/>
                <w:szCs w:val="16"/>
              </w:rPr>
            </w:pPr>
            <w:r>
              <w:rPr>
                <w:b/>
                <w:sz w:val="16"/>
                <w:szCs w:val="16"/>
              </w:rPr>
              <w:t>A.1</w:t>
            </w:r>
          </w:p>
        </w:tc>
        <w:tc>
          <w:tcPr>
            <w:tcW w:w="9720" w:type="dxa"/>
            <w:gridSpan w:val="6"/>
          </w:tcPr>
          <w:p w:rsidR="00D158FC" w:rsidRDefault="00D158FC" w:rsidP="00A203E5">
            <w:pPr>
              <w:rPr>
                <w:b/>
                <w:sz w:val="16"/>
                <w:szCs w:val="16"/>
              </w:rPr>
            </w:pPr>
          </w:p>
          <w:p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w:t>
            </w:r>
            <w:r w:rsidR="00FF0D86">
              <w:rPr>
                <w:sz w:val="16"/>
                <w:szCs w:val="16"/>
              </w:rPr>
              <w:t xml:space="preserve">Housing Authority of Danville </w:t>
            </w:r>
            <w:r w:rsidRPr="001F21C0">
              <w:rPr>
                <w:bCs/>
                <w:sz w:val="16"/>
                <w:szCs w:val="16"/>
              </w:rPr>
              <w:t xml:space="preserve"> </w:t>
            </w:r>
            <w:r>
              <w:rPr>
                <w:bCs/>
                <w:sz w:val="16"/>
                <w:szCs w:val="16"/>
              </w:rPr>
              <w:t xml:space="preserve"> </w:t>
            </w:r>
            <w:r w:rsidRPr="00B93A6A">
              <w:rPr>
                <w:b/>
                <w:bCs/>
                <w:sz w:val="16"/>
                <w:szCs w:val="16"/>
              </w:rPr>
              <w:t>PHA Code</w:t>
            </w:r>
            <w:r w:rsidRPr="001F21C0">
              <w:rPr>
                <w:bCs/>
                <w:sz w:val="16"/>
                <w:szCs w:val="16"/>
              </w:rPr>
              <w:t xml:space="preserve">: </w:t>
            </w:r>
            <w:r w:rsidR="00FF0D86">
              <w:rPr>
                <w:bCs/>
                <w:sz w:val="16"/>
                <w:szCs w:val="16"/>
              </w:rPr>
              <w:t>KY014</w:t>
            </w:r>
          </w:p>
          <w:p w:rsidR="006C60B5" w:rsidRDefault="006C60B5" w:rsidP="00943CB1">
            <w:pPr>
              <w:rPr>
                <w:sz w:val="16"/>
                <w:szCs w:val="16"/>
              </w:rPr>
            </w:pPr>
            <w:r w:rsidRPr="00B93A6A">
              <w:rPr>
                <w:b/>
                <w:bCs/>
                <w:sz w:val="16"/>
                <w:szCs w:val="16"/>
              </w:rPr>
              <w:t>PHA Type</w:t>
            </w:r>
            <w:r w:rsidR="004E5848">
              <w:rPr>
                <w:b/>
                <w:bCs/>
                <w:sz w:val="16"/>
                <w:szCs w:val="16"/>
              </w:rPr>
              <w:t xml:space="preserve">:   </w:t>
            </w:r>
            <w:r w:rsidR="002D49BB"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CD3E80">
              <w:rPr>
                <w:sz w:val="16"/>
                <w:szCs w:val="16"/>
              </w:rPr>
            </w:r>
            <w:r w:rsidR="00CD3E80">
              <w:rPr>
                <w:sz w:val="16"/>
                <w:szCs w:val="16"/>
              </w:rPr>
              <w:fldChar w:fldCharType="separate"/>
            </w:r>
            <w:r w:rsidR="002D49BB" w:rsidRPr="001F21C0">
              <w:rPr>
                <w:sz w:val="16"/>
                <w:szCs w:val="16"/>
              </w:rPr>
              <w:fldChar w:fldCharType="end"/>
            </w:r>
            <w:r w:rsidR="008F2F1C">
              <w:rPr>
                <w:sz w:val="16"/>
                <w:szCs w:val="16"/>
              </w:rPr>
              <w:t xml:space="preserve"> </w:t>
            </w:r>
            <w:r w:rsidR="006F2F1B">
              <w:rPr>
                <w:sz w:val="16"/>
                <w:szCs w:val="16"/>
              </w:rPr>
              <w:t>S</w:t>
            </w:r>
            <w:r w:rsidR="009B7B66">
              <w:rPr>
                <w:sz w:val="16"/>
                <w:szCs w:val="16"/>
              </w:rPr>
              <w:t>mall</w:t>
            </w:r>
            <w:r w:rsidR="00E760D2">
              <w:rPr>
                <w:sz w:val="16"/>
                <w:szCs w:val="16"/>
              </w:rPr>
              <w:t xml:space="preserve"> </w:t>
            </w:r>
            <w:r w:rsidR="006F2F1B">
              <w:rPr>
                <w:sz w:val="16"/>
                <w:szCs w:val="16"/>
              </w:rPr>
              <w:t xml:space="preserve">  </w:t>
            </w:r>
            <w:r w:rsidR="002D49BB">
              <w:rPr>
                <w:sz w:val="16"/>
                <w:szCs w:val="16"/>
              </w:rPr>
              <w:fldChar w:fldCharType="begin">
                <w:ffData>
                  <w:name w:val="Check1"/>
                  <w:enabled/>
                  <w:calcOnExit w:val="0"/>
                  <w:checkBox>
                    <w:sizeAuto/>
                    <w:default w:val="1"/>
                  </w:checkBox>
                </w:ffData>
              </w:fldChar>
            </w:r>
            <w:bookmarkStart w:id="0" w:name="Check1"/>
            <w:r w:rsidR="00FF0D86">
              <w:rPr>
                <w:sz w:val="16"/>
                <w:szCs w:val="16"/>
              </w:rPr>
              <w:instrText xml:space="preserve"> FORMCHECKBOX </w:instrText>
            </w:r>
            <w:r w:rsidR="00CD3E80">
              <w:rPr>
                <w:sz w:val="16"/>
                <w:szCs w:val="16"/>
              </w:rPr>
            </w:r>
            <w:r w:rsidR="00CD3E80">
              <w:rPr>
                <w:sz w:val="16"/>
                <w:szCs w:val="16"/>
              </w:rPr>
              <w:fldChar w:fldCharType="separate"/>
            </w:r>
            <w:r w:rsidR="002D49BB">
              <w:rPr>
                <w:sz w:val="16"/>
                <w:szCs w:val="16"/>
              </w:rPr>
              <w:fldChar w:fldCharType="end"/>
            </w:r>
            <w:bookmarkEnd w:id="0"/>
            <w:r w:rsidR="006F2F1B">
              <w:rPr>
                <w:sz w:val="16"/>
                <w:szCs w:val="16"/>
              </w:rPr>
              <w:t xml:space="preserve"> </w:t>
            </w:r>
            <w:r w:rsidR="009B7B66">
              <w:rPr>
                <w:sz w:val="16"/>
                <w:szCs w:val="16"/>
              </w:rPr>
              <w:t>High Performer</w:t>
            </w:r>
            <w:r w:rsidR="006F2F1B">
              <w:rPr>
                <w:sz w:val="16"/>
                <w:szCs w:val="16"/>
              </w:rPr>
              <w:t xml:space="preserve">     </w:t>
            </w:r>
          </w:p>
          <w:p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proofErr w:type="gramStart"/>
            <w:r w:rsidRPr="001F21C0">
              <w:rPr>
                <w:bCs/>
                <w:sz w:val="16"/>
                <w:szCs w:val="16"/>
              </w:rPr>
              <w:t>:</w:t>
            </w:r>
            <w:r>
              <w:rPr>
                <w:bCs/>
                <w:sz w:val="16"/>
                <w:szCs w:val="16"/>
              </w:rPr>
              <w:t xml:space="preserve"> </w:t>
            </w:r>
            <w:r w:rsidRPr="001F21C0">
              <w:rPr>
                <w:bCs/>
                <w:sz w:val="16"/>
                <w:szCs w:val="16"/>
              </w:rPr>
              <w:t xml:space="preserve"> (</w:t>
            </w:r>
            <w:proofErr w:type="gramEnd"/>
            <w:r w:rsidRPr="001F21C0">
              <w:rPr>
                <w:bCs/>
                <w:sz w:val="16"/>
                <w:szCs w:val="16"/>
              </w:rPr>
              <w:t xml:space="preserve">MM/YYYY): </w:t>
            </w:r>
            <w:r w:rsidR="00FF0D86">
              <w:rPr>
                <w:bCs/>
                <w:sz w:val="16"/>
                <w:szCs w:val="16"/>
              </w:rPr>
              <w:t>04/01/201</w:t>
            </w:r>
            <w:r w:rsidR="0079092C">
              <w:rPr>
                <w:bCs/>
                <w:sz w:val="16"/>
                <w:szCs w:val="16"/>
              </w:rPr>
              <w:t>8</w:t>
            </w:r>
          </w:p>
          <w:p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rsidR="009363D4" w:rsidRDefault="009363D4" w:rsidP="009363D4">
            <w:pPr>
              <w:rPr>
                <w:b/>
                <w:bCs/>
                <w:sz w:val="16"/>
                <w:szCs w:val="16"/>
              </w:rPr>
            </w:pPr>
            <w:r>
              <w:rPr>
                <w:b/>
                <w:bCs/>
                <w:sz w:val="16"/>
                <w:szCs w:val="16"/>
              </w:rPr>
              <w:t xml:space="preserve">Number of Public Housing (PH) Units </w:t>
            </w:r>
            <w:r w:rsidR="00FF0D86">
              <w:rPr>
                <w:b/>
                <w:bCs/>
                <w:sz w:val="16"/>
                <w:szCs w:val="16"/>
              </w:rPr>
              <w:t>394</w:t>
            </w:r>
            <w:r>
              <w:rPr>
                <w:b/>
                <w:bCs/>
                <w:sz w:val="16"/>
                <w:szCs w:val="16"/>
              </w:rPr>
              <w:t xml:space="preserve">     Number of Housing Choice Vouchers (HCVs) </w:t>
            </w:r>
            <w:r w:rsidR="00FF0D86">
              <w:rPr>
                <w:b/>
                <w:bCs/>
                <w:sz w:val="16"/>
                <w:szCs w:val="16"/>
              </w:rPr>
              <w:t>0</w:t>
            </w:r>
          </w:p>
          <w:p w:rsidR="009B7B66" w:rsidRDefault="009B7B66" w:rsidP="009363D4">
            <w:pPr>
              <w:rPr>
                <w:b/>
                <w:bCs/>
                <w:sz w:val="16"/>
                <w:szCs w:val="16"/>
              </w:rPr>
            </w:pPr>
            <w:r>
              <w:rPr>
                <w:b/>
                <w:bCs/>
                <w:sz w:val="16"/>
                <w:szCs w:val="16"/>
              </w:rPr>
              <w:t>Total Combined</w:t>
            </w:r>
            <w:r w:rsidR="00FF0D86">
              <w:rPr>
                <w:b/>
                <w:bCs/>
                <w:sz w:val="16"/>
                <w:szCs w:val="16"/>
              </w:rPr>
              <w:t xml:space="preserve"> 394</w:t>
            </w:r>
          </w:p>
          <w:p w:rsidR="009363D4" w:rsidRDefault="009363D4" w:rsidP="009363D4">
            <w:pPr>
              <w:rPr>
                <w:sz w:val="16"/>
                <w:szCs w:val="16"/>
              </w:rPr>
            </w:pPr>
            <w:r>
              <w:rPr>
                <w:b/>
                <w:bCs/>
                <w:sz w:val="16"/>
                <w:szCs w:val="16"/>
              </w:rPr>
              <w:t xml:space="preserve">PHA Plan Submission Type:  </w:t>
            </w:r>
            <w:r w:rsidR="002D49BB">
              <w:rPr>
                <w:sz w:val="16"/>
                <w:szCs w:val="16"/>
              </w:rPr>
              <w:fldChar w:fldCharType="begin">
                <w:ffData>
                  <w:name w:val=""/>
                  <w:enabled/>
                  <w:calcOnExit w:val="0"/>
                  <w:checkBox>
                    <w:sizeAuto/>
                    <w:default w:val="1"/>
                  </w:checkBox>
                </w:ffData>
              </w:fldChar>
            </w:r>
            <w:r w:rsidR="00FF0D86">
              <w:rPr>
                <w:sz w:val="16"/>
                <w:szCs w:val="16"/>
              </w:rPr>
              <w:instrText xml:space="preserve"> FORMCHECKBOX </w:instrText>
            </w:r>
            <w:r w:rsidR="00CD3E80">
              <w:rPr>
                <w:sz w:val="16"/>
                <w:szCs w:val="16"/>
              </w:rPr>
            </w:r>
            <w:r w:rsidR="00CD3E80">
              <w:rPr>
                <w:sz w:val="16"/>
                <w:szCs w:val="16"/>
              </w:rPr>
              <w:fldChar w:fldCharType="separate"/>
            </w:r>
            <w:r w:rsidR="002D49BB">
              <w:rPr>
                <w:sz w:val="16"/>
                <w:szCs w:val="16"/>
              </w:rPr>
              <w:fldChar w:fldCharType="end"/>
            </w:r>
            <w:r>
              <w:rPr>
                <w:sz w:val="16"/>
                <w:szCs w:val="16"/>
              </w:rPr>
              <w:t xml:space="preserve"> Annual Submission                   </w:t>
            </w:r>
            <w:r w:rsidR="002D49BB"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CD3E80">
              <w:rPr>
                <w:sz w:val="16"/>
                <w:szCs w:val="16"/>
              </w:rPr>
            </w:r>
            <w:r w:rsidR="00CD3E80">
              <w:rPr>
                <w:sz w:val="16"/>
                <w:szCs w:val="16"/>
              </w:rPr>
              <w:fldChar w:fldCharType="separate"/>
            </w:r>
            <w:r w:rsidR="002D49BB" w:rsidRPr="001F21C0">
              <w:rPr>
                <w:sz w:val="16"/>
                <w:szCs w:val="16"/>
              </w:rPr>
              <w:fldChar w:fldCharType="end"/>
            </w:r>
            <w:r>
              <w:rPr>
                <w:sz w:val="16"/>
                <w:szCs w:val="16"/>
              </w:rPr>
              <w:t>Revised Annual Submission</w:t>
            </w:r>
            <w:r>
              <w:rPr>
                <w:sz w:val="16"/>
                <w:szCs w:val="16"/>
              </w:rPr>
              <w:tab/>
            </w:r>
          </w:p>
          <w:p w:rsidR="009363D4" w:rsidRDefault="009363D4" w:rsidP="009363D4">
            <w:pPr>
              <w:rPr>
                <w:sz w:val="16"/>
                <w:szCs w:val="16"/>
              </w:rPr>
            </w:pPr>
          </w:p>
          <w:p w:rsidR="009363D4" w:rsidRDefault="009363D4" w:rsidP="009363D4">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9B7B66">
              <w:rPr>
                <w:bCs/>
                <w:sz w:val="16"/>
                <w:szCs w:val="16"/>
              </w:rPr>
              <w:t>y</w:t>
            </w:r>
            <w:r>
              <w:rPr>
                <w:bCs/>
                <w:sz w:val="16"/>
                <w:szCs w:val="16"/>
              </w:rPr>
              <w:t xml:space="preserve"> obtain additional information of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9B7B66">
              <w:rPr>
                <w:bCs/>
                <w:sz w:val="16"/>
                <w:szCs w:val="16"/>
              </w:rPr>
              <w:t>their</w:t>
            </w:r>
            <w:r w:rsidRPr="00DF7BC6">
              <w:rPr>
                <w:bCs/>
                <w:sz w:val="16"/>
                <w:szCs w:val="16"/>
              </w:rPr>
              <w:t xml:space="preserve"> official website.  PHAs are also encouraged to provide each resident council a copy of </w:t>
            </w:r>
            <w:r w:rsidR="009B7B66">
              <w:rPr>
                <w:bCs/>
                <w:sz w:val="16"/>
                <w:szCs w:val="16"/>
              </w:rPr>
              <w:t>their</w:t>
            </w:r>
            <w:r w:rsidRPr="00DF7BC6">
              <w:rPr>
                <w:bCs/>
                <w:sz w:val="16"/>
                <w:szCs w:val="16"/>
              </w:rPr>
              <w:t xml:space="preserve"> PHA Plans.</w:t>
            </w:r>
            <w:r w:rsidRPr="00DF7BC6">
              <w:rPr>
                <w:b/>
                <w:bCs/>
                <w:sz w:val="16"/>
                <w:szCs w:val="16"/>
              </w:rPr>
              <w:t xml:space="preserve">  </w:t>
            </w:r>
          </w:p>
          <w:p w:rsidR="00D76196" w:rsidRDefault="00D76196" w:rsidP="009363D4">
            <w:pPr>
              <w:rPr>
                <w:b/>
                <w:bCs/>
                <w:sz w:val="16"/>
                <w:szCs w:val="16"/>
              </w:rPr>
            </w:pPr>
          </w:p>
          <w:p w:rsidR="00D76196" w:rsidRPr="00DF7BC6" w:rsidRDefault="00D76196" w:rsidP="009363D4">
            <w:pPr>
              <w:rPr>
                <w:b/>
                <w:bCs/>
                <w:sz w:val="16"/>
                <w:szCs w:val="16"/>
              </w:rPr>
            </w:pPr>
          </w:p>
          <w:p w:rsidR="005B43EA" w:rsidRPr="00FE77BB" w:rsidRDefault="005B43EA" w:rsidP="00A203E5">
            <w:pPr>
              <w:rPr>
                <w:sz w:val="16"/>
              </w:rPr>
            </w:pPr>
          </w:p>
          <w:p w:rsidR="009244A3" w:rsidRPr="00FE77BB" w:rsidRDefault="009244A3" w:rsidP="00A203E5">
            <w:pPr>
              <w:rPr>
                <w:sz w:val="16"/>
              </w:rPr>
            </w:pPr>
          </w:p>
          <w:p w:rsidR="006C60B5" w:rsidRPr="00FE77BB" w:rsidRDefault="006C60B5" w:rsidP="00A203E5">
            <w:pPr>
              <w:rPr>
                <w:sz w:val="16"/>
              </w:rPr>
            </w:pPr>
          </w:p>
          <w:p w:rsidR="00EC1129" w:rsidRPr="00EC1129" w:rsidRDefault="002D49BB" w:rsidP="00363B42">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CD3E80">
              <w:rPr>
                <w:smallCaps/>
                <w:sz w:val="16"/>
                <w:szCs w:val="16"/>
              </w:rPr>
            </w:r>
            <w:r w:rsidR="00CD3E80">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proofErr w:type="gramStart"/>
            <w:r w:rsidR="006C60B5">
              <w:rPr>
                <w:bCs/>
                <w:sz w:val="16"/>
                <w:szCs w:val="16"/>
              </w:rPr>
              <w:t xml:space="preserve">: </w:t>
            </w:r>
            <w:r w:rsidR="002A030A">
              <w:rPr>
                <w:bCs/>
                <w:sz w:val="16"/>
                <w:szCs w:val="16"/>
              </w:rPr>
              <w:t xml:space="preserve"> </w:t>
            </w:r>
            <w:r w:rsidR="00C02893">
              <w:rPr>
                <w:bCs/>
                <w:sz w:val="16"/>
                <w:szCs w:val="16"/>
              </w:rPr>
              <w:t>(</w:t>
            </w:r>
            <w:proofErr w:type="gramEnd"/>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rsidTr="00FB7120">
        <w:trPr>
          <w:gridAfter w:val="1"/>
          <w:wAfter w:w="9720" w:type="dxa"/>
          <w:trHeight w:val="312"/>
        </w:trPr>
        <w:tc>
          <w:tcPr>
            <w:tcW w:w="540" w:type="dxa"/>
            <w:vMerge/>
          </w:tcPr>
          <w:p w:rsidR="006C60B5" w:rsidRPr="00C938EB" w:rsidRDefault="006C60B5" w:rsidP="00A203E5">
            <w:pPr>
              <w:jc w:val="center"/>
              <w:rPr>
                <w:b/>
                <w:sz w:val="16"/>
                <w:szCs w:val="16"/>
              </w:rPr>
            </w:pPr>
          </w:p>
        </w:tc>
        <w:tc>
          <w:tcPr>
            <w:tcW w:w="2070" w:type="dxa"/>
            <w:vMerge w:val="restart"/>
            <w:vAlign w:val="center"/>
          </w:tcPr>
          <w:p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rsidR="006C60B5" w:rsidRPr="003E72BF" w:rsidRDefault="006C60B5" w:rsidP="00A203E5">
            <w:pPr>
              <w:jc w:val="center"/>
              <w:rPr>
                <w:b/>
                <w:sz w:val="16"/>
                <w:szCs w:val="16"/>
              </w:rPr>
            </w:pPr>
            <w:r>
              <w:rPr>
                <w:b/>
                <w:sz w:val="16"/>
                <w:szCs w:val="16"/>
              </w:rPr>
              <w:t>PHA Code</w:t>
            </w:r>
          </w:p>
        </w:tc>
        <w:tc>
          <w:tcPr>
            <w:tcW w:w="2250" w:type="dxa"/>
            <w:vMerge w:val="restart"/>
            <w:vAlign w:val="center"/>
          </w:tcPr>
          <w:p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rsidR="006C60B5" w:rsidRPr="003E72BF" w:rsidRDefault="006C60B5" w:rsidP="00A203E5">
            <w:pPr>
              <w:jc w:val="center"/>
              <w:rPr>
                <w:b/>
                <w:sz w:val="16"/>
                <w:szCs w:val="16"/>
              </w:rPr>
            </w:pPr>
            <w:r>
              <w:rPr>
                <w:b/>
                <w:sz w:val="16"/>
                <w:szCs w:val="16"/>
              </w:rPr>
              <w:t>No. of Units in Each Program</w:t>
            </w:r>
          </w:p>
        </w:tc>
      </w:tr>
      <w:tr w:rsidR="006C60B5" w:rsidRPr="00445D7F" w:rsidTr="00FB7120">
        <w:trPr>
          <w:gridAfter w:val="1"/>
          <w:wAfter w:w="9720" w:type="dxa"/>
          <w:trHeight w:val="231"/>
        </w:trPr>
        <w:tc>
          <w:tcPr>
            <w:tcW w:w="540" w:type="dxa"/>
            <w:vMerge/>
          </w:tcPr>
          <w:p w:rsidR="006C60B5" w:rsidRPr="00C938EB" w:rsidRDefault="006C60B5" w:rsidP="00A203E5">
            <w:pPr>
              <w:jc w:val="center"/>
              <w:rPr>
                <w:b/>
                <w:sz w:val="16"/>
                <w:szCs w:val="16"/>
              </w:rPr>
            </w:pPr>
          </w:p>
        </w:tc>
        <w:tc>
          <w:tcPr>
            <w:tcW w:w="2070" w:type="dxa"/>
            <w:vMerge/>
          </w:tcPr>
          <w:p w:rsidR="006C60B5" w:rsidRDefault="006C60B5" w:rsidP="00A203E5">
            <w:pPr>
              <w:rPr>
                <w:b/>
                <w:sz w:val="16"/>
                <w:szCs w:val="16"/>
              </w:rPr>
            </w:pPr>
          </w:p>
        </w:tc>
        <w:tc>
          <w:tcPr>
            <w:tcW w:w="990" w:type="dxa"/>
            <w:vMerge/>
          </w:tcPr>
          <w:p w:rsidR="006C60B5" w:rsidRDefault="006C60B5" w:rsidP="00A203E5">
            <w:pPr>
              <w:rPr>
                <w:b/>
                <w:sz w:val="16"/>
                <w:szCs w:val="16"/>
              </w:rPr>
            </w:pPr>
          </w:p>
        </w:tc>
        <w:tc>
          <w:tcPr>
            <w:tcW w:w="2250" w:type="dxa"/>
            <w:vMerge/>
          </w:tcPr>
          <w:p w:rsidR="006C60B5" w:rsidRDefault="006C60B5" w:rsidP="00A203E5">
            <w:pPr>
              <w:rPr>
                <w:b/>
                <w:sz w:val="16"/>
                <w:szCs w:val="16"/>
              </w:rPr>
            </w:pPr>
          </w:p>
        </w:tc>
        <w:tc>
          <w:tcPr>
            <w:tcW w:w="2070" w:type="dxa"/>
            <w:vMerge/>
          </w:tcPr>
          <w:p w:rsidR="006C60B5" w:rsidRDefault="006C60B5" w:rsidP="00A203E5">
            <w:pPr>
              <w:rPr>
                <w:b/>
                <w:sz w:val="16"/>
                <w:szCs w:val="16"/>
              </w:rPr>
            </w:pPr>
          </w:p>
        </w:tc>
        <w:tc>
          <w:tcPr>
            <w:tcW w:w="1080" w:type="dxa"/>
            <w:vAlign w:val="center"/>
          </w:tcPr>
          <w:p w:rsidR="006C60B5" w:rsidRDefault="006C60B5" w:rsidP="00A203E5">
            <w:pPr>
              <w:jc w:val="center"/>
              <w:rPr>
                <w:b/>
                <w:sz w:val="16"/>
                <w:szCs w:val="16"/>
              </w:rPr>
            </w:pPr>
            <w:r>
              <w:rPr>
                <w:b/>
                <w:sz w:val="16"/>
                <w:szCs w:val="16"/>
              </w:rPr>
              <w:t>PH</w:t>
            </w:r>
          </w:p>
        </w:tc>
        <w:tc>
          <w:tcPr>
            <w:tcW w:w="1260" w:type="dxa"/>
            <w:vAlign w:val="center"/>
          </w:tcPr>
          <w:p w:rsidR="006C60B5" w:rsidRDefault="006C60B5" w:rsidP="00A203E5">
            <w:pPr>
              <w:jc w:val="center"/>
              <w:rPr>
                <w:b/>
                <w:sz w:val="16"/>
                <w:szCs w:val="16"/>
              </w:rPr>
            </w:pPr>
            <w:r>
              <w:rPr>
                <w:b/>
                <w:sz w:val="16"/>
                <w:szCs w:val="16"/>
              </w:rPr>
              <w:t>HCV</w:t>
            </w:r>
          </w:p>
        </w:tc>
      </w:tr>
      <w:tr w:rsidR="006C60B5" w:rsidRPr="00445D7F" w:rsidTr="009B7B66">
        <w:trPr>
          <w:gridAfter w:val="1"/>
          <w:wAfter w:w="9720" w:type="dxa"/>
          <w:trHeight w:val="547"/>
        </w:trPr>
        <w:tc>
          <w:tcPr>
            <w:tcW w:w="540" w:type="dxa"/>
            <w:vMerge/>
          </w:tcPr>
          <w:p w:rsidR="006C60B5" w:rsidRPr="00C938EB" w:rsidRDefault="006C60B5" w:rsidP="00A203E5">
            <w:pPr>
              <w:jc w:val="center"/>
              <w:rPr>
                <w:b/>
                <w:sz w:val="16"/>
                <w:szCs w:val="16"/>
              </w:rPr>
            </w:pPr>
          </w:p>
        </w:tc>
        <w:tc>
          <w:tcPr>
            <w:tcW w:w="2070" w:type="dxa"/>
          </w:tcPr>
          <w:p w:rsidR="006C60B5" w:rsidRDefault="00D76196" w:rsidP="00A203E5">
            <w:pPr>
              <w:rPr>
                <w:bCs/>
                <w:sz w:val="16"/>
                <w:szCs w:val="16"/>
              </w:rPr>
            </w:pPr>
            <w:r>
              <w:rPr>
                <w:bCs/>
                <w:sz w:val="16"/>
                <w:szCs w:val="16"/>
              </w:rPr>
              <w:t>Lead PHA:</w:t>
            </w: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9B7B66">
        <w:trPr>
          <w:gridAfter w:val="1"/>
          <w:wAfter w:w="9720" w:type="dxa"/>
          <w:trHeight w:val="567"/>
        </w:trPr>
        <w:tc>
          <w:tcPr>
            <w:tcW w:w="540" w:type="dxa"/>
            <w:vMerge/>
          </w:tcPr>
          <w:p w:rsidR="006C60B5" w:rsidRPr="00C938EB" w:rsidRDefault="006C60B5" w:rsidP="00A203E5">
            <w:pPr>
              <w:jc w:val="center"/>
              <w:rPr>
                <w:b/>
                <w:sz w:val="16"/>
                <w:szCs w:val="16"/>
              </w:rPr>
            </w:pPr>
          </w:p>
        </w:tc>
        <w:tc>
          <w:tcPr>
            <w:tcW w:w="2070" w:type="dxa"/>
          </w:tcPr>
          <w:p w:rsidR="006C60B5" w:rsidRDefault="006C60B5" w:rsidP="00A203E5">
            <w:pPr>
              <w:rPr>
                <w:bCs/>
                <w:sz w:val="16"/>
                <w:szCs w:val="16"/>
              </w:rPr>
            </w:pPr>
          </w:p>
          <w:p w:rsidR="001C5EE4" w:rsidRDefault="001C5EE4" w:rsidP="00A203E5">
            <w:pPr>
              <w:rPr>
                <w:bCs/>
                <w:sz w:val="16"/>
                <w:szCs w:val="16"/>
              </w:rPr>
            </w:pPr>
          </w:p>
        </w:tc>
        <w:tc>
          <w:tcPr>
            <w:tcW w:w="990" w:type="dxa"/>
          </w:tcPr>
          <w:p w:rsidR="006C60B5" w:rsidRDefault="006C60B5" w:rsidP="00A203E5">
            <w:pPr>
              <w:rPr>
                <w:bCs/>
                <w:sz w:val="16"/>
                <w:szCs w:val="16"/>
              </w:rPr>
            </w:pPr>
          </w:p>
        </w:tc>
        <w:tc>
          <w:tcPr>
            <w:tcW w:w="2250" w:type="dxa"/>
          </w:tcPr>
          <w:p w:rsidR="006C60B5" w:rsidRDefault="006C60B5" w:rsidP="00A203E5">
            <w:pPr>
              <w:rPr>
                <w:bCs/>
                <w:sz w:val="16"/>
                <w:szCs w:val="16"/>
              </w:rPr>
            </w:pPr>
          </w:p>
        </w:tc>
        <w:tc>
          <w:tcPr>
            <w:tcW w:w="2070" w:type="dxa"/>
          </w:tcPr>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9B7B66">
        <w:trPr>
          <w:gridAfter w:val="1"/>
          <w:wAfter w:w="9720" w:type="dxa"/>
          <w:trHeight w:val="450"/>
        </w:trPr>
        <w:tc>
          <w:tcPr>
            <w:tcW w:w="540" w:type="dxa"/>
            <w:vMerge/>
          </w:tcPr>
          <w:p w:rsidR="006C60B5" w:rsidRPr="00C938EB" w:rsidRDefault="006C60B5" w:rsidP="00A203E5">
            <w:pPr>
              <w:jc w:val="center"/>
              <w:rPr>
                <w:b/>
                <w:sz w:val="16"/>
                <w:szCs w:val="16"/>
              </w:rPr>
            </w:pPr>
          </w:p>
        </w:tc>
        <w:tc>
          <w:tcPr>
            <w:tcW w:w="2070" w:type="dxa"/>
          </w:tcPr>
          <w:p w:rsidR="006C60B5" w:rsidRDefault="006C60B5" w:rsidP="00A203E5">
            <w:pPr>
              <w:rPr>
                <w:bCs/>
                <w:sz w:val="16"/>
                <w:szCs w:val="16"/>
              </w:rPr>
            </w:pP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p w:rsidR="006C60B5" w:rsidRDefault="006C60B5" w:rsidP="00A203E5">
            <w:pPr>
              <w:rPr>
                <w:bCs/>
                <w:sz w:val="16"/>
                <w:szCs w:val="16"/>
              </w:rPr>
            </w:pPr>
          </w:p>
        </w:tc>
        <w:tc>
          <w:tcPr>
            <w:tcW w:w="1260" w:type="dxa"/>
          </w:tcPr>
          <w:p w:rsidR="006C60B5" w:rsidRDefault="006C60B5" w:rsidP="00A203E5">
            <w:pPr>
              <w:rPr>
                <w:bCs/>
                <w:sz w:val="16"/>
                <w:szCs w:val="16"/>
              </w:rPr>
            </w:pPr>
          </w:p>
          <w:p w:rsidR="006C60B5" w:rsidRDefault="006C60B5" w:rsidP="00A203E5">
            <w:pPr>
              <w:rPr>
                <w:bCs/>
                <w:sz w:val="16"/>
                <w:szCs w:val="16"/>
              </w:rPr>
            </w:pPr>
          </w:p>
          <w:p w:rsidR="009B7B66" w:rsidRDefault="009B7B66" w:rsidP="00A203E5">
            <w:pPr>
              <w:rPr>
                <w:bCs/>
                <w:sz w:val="16"/>
                <w:szCs w:val="16"/>
              </w:rPr>
            </w:pPr>
          </w:p>
          <w:p w:rsidR="009B7B66" w:rsidRDefault="009B7B66" w:rsidP="00A203E5">
            <w:pPr>
              <w:rPr>
                <w:bCs/>
                <w:sz w:val="16"/>
                <w:szCs w:val="16"/>
              </w:rPr>
            </w:pPr>
          </w:p>
        </w:tc>
      </w:tr>
      <w:tr w:rsidR="00B32F70" w:rsidRPr="006C60B5" w:rsidTr="00814F8B">
        <w:trPr>
          <w:gridAfter w:val="1"/>
          <w:wAfter w:w="9720" w:type="dxa"/>
          <w:cantSplit/>
          <w:trHeight w:val="912"/>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FE77BB">
            <w:pPr>
              <w:rPr>
                <w:b/>
                <w:bCs/>
                <w:sz w:val="20"/>
                <w:szCs w:val="20"/>
              </w:rPr>
            </w:pPr>
          </w:p>
          <w:p w:rsidR="00B32F70" w:rsidRPr="00E9213F" w:rsidRDefault="00524E62" w:rsidP="00FE77BB">
            <w:pPr>
              <w:rPr>
                <w:b/>
                <w:bCs/>
                <w:sz w:val="20"/>
                <w:szCs w:val="20"/>
              </w:rPr>
            </w:pPr>
            <w:r>
              <w:rPr>
                <w:b/>
                <w:bCs/>
                <w:sz w:val="20"/>
                <w:szCs w:val="20"/>
              </w:rPr>
              <w:t>B</w:t>
            </w:r>
            <w:r w:rsidR="00B32F70" w:rsidRPr="00E9213F">
              <w:rPr>
                <w:b/>
                <w:bCs/>
                <w:sz w:val="20"/>
                <w:szCs w:val="20"/>
              </w:rPr>
              <w:t>.</w:t>
            </w:r>
          </w:p>
          <w:p w:rsidR="00B32F70" w:rsidRPr="00E9213F" w:rsidRDefault="00B32F70" w:rsidP="00FE77BB">
            <w:pP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814F8B">
            <w:pPr>
              <w:rPr>
                <w:b/>
                <w:bCs/>
                <w:sz w:val="20"/>
                <w:szCs w:val="20"/>
              </w:rPr>
            </w:pPr>
          </w:p>
          <w:p w:rsidR="00B32F70" w:rsidRPr="00E9213F" w:rsidRDefault="00B32F70" w:rsidP="00814F8B">
            <w:pPr>
              <w:rPr>
                <w:b/>
                <w:bCs/>
                <w:sz w:val="20"/>
                <w:szCs w:val="20"/>
              </w:rPr>
            </w:pPr>
            <w:r w:rsidRPr="00E9213F">
              <w:rPr>
                <w:b/>
                <w:bCs/>
                <w:sz w:val="20"/>
                <w:szCs w:val="20"/>
              </w:rPr>
              <w:t xml:space="preserve">Annual </w:t>
            </w:r>
            <w:r w:rsidRPr="0047344A">
              <w:rPr>
                <w:b/>
                <w:bCs/>
                <w:sz w:val="20"/>
                <w:szCs w:val="20"/>
              </w:rPr>
              <w:t>Plan</w:t>
            </w:r>
            <w:r w:rsidR="0090193C">
              <w:rPr>
                <w:b/>
                <w:bCs/>
                <w:sz w:val="20"/>
                <w:szCs w:val="20"/>
              </w:rPr>
              <w:t xml:space="preserve"> Elements</w:t>
            </w:r>
            <w:r w:rsidR="006F28E4">
              <w:rPr>
                <w:b/>
                <w:bCs/>
                <w:sz w:val="20"/>
                <w:szCs w:val="20"/>
              </w:rPr>
              <w:t xml:space="preserve"> </w:t>
            </w:r>
          </w:p>
        </w:tc>
      </w:tr>
      <w:tr w:rsidR="00B32F70"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B32F70" w:rsidRDefault="00B32F70" w:rsidP="00A203E5">
            <w:pPr>
              <w:jc w:val="center"/>
              <w:rPr>
                <w:b/>
                <w:bCs/>
                <w:sz w:val="16"/>
                <w:szCs w:val="16"/>
              </w:rPr>
            </w:pPr>
          </w:p>
          <w:p w:rsidR="00B32F70" w:rsidRDefault="00524E62" w:rsidP="00A203E5">
            <w:pPr>
              <w:jc w:val="center"/>
              <w:rPr>
                <w:b/>
                <w:bCs/>
                <w:sz w:val="16"/>
                <w:szCs w:val="16"/>
              </w:rPr>
            </w:pPr>
            <w:r>
              <w:rPr>
                <w:b/>
                <w:bCs/>
                <w:sz w:val="16"/>
                <w:szCs w:val="16"/>
              </w:rPr>
              <w:t>B</w:t>
            </w:r>
            <w:r w:rsidR="00D415C8">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rsidR="002B017E" w:rsidRDefault="002B017E" w:rsidP="00D67408">
            <w:pPr>
              <w:rPr>
                <w:b/>
                <w:bCs/>
                <w:sz w:val="16"/>
                <w:szCs w:val="16"/>
              </w:rPr>
            </w:pPr>
          </w:p>
          <w:p w:rsidR="00D67408" w:rsidRPr="00B32F70" w:rsidRDefault="00D67408" w:rsidP="00D67408">
            <w:pPr>
              <w:rPr>
                <w:b/>
                <w:bCs/>
                <w:sz w:val="16"/>
                <w:szCs w:val="16"/>
              </w:rPr>
            </w:pPr>
            <w:r w:rsidRPr="00B32F70">
              <w:rPr>
                <w:b/>
                <w:bCs/>
                <w:sz w:val="16"/>
                <w:szCs w:val="16"/>
              </w:rPr>
              <w:t xml:space="preserve">Revision of PHA Plan Elements.  </w:t>
            </w:r>
          </w:p>
          <w:p w:rsidR="00D67408" w:rsidRPr="00B32F70" w:rsidRDefault="00D67408" w:rsidP="00D67408">
            <w:pPr>
              <w:rPr>
                <w:b/>
                <w:bCs/>
                <w:sz w:val="16"/>
                <w:szCs w:val="16"/>
              </w:rPr>
            </w:pPr>
          </w:p>
          <w:p w:rsidR="00D67408" w:rsidRPr="00BE5FE4" w:rsidRDefault="00D67408" w:rsidP="00D67408">
            <w:pPr>
              <w:rPr>
                <w:bCs/>
                <w:sz w:val="16"/>
                <w:szCs w:val="16"/>
              </w:rPr>
            </w:pPr>
            <w:r w:rsidRPr="00BE5FE4">
              <w:rPr>
                <w:bCs/>
                <w:sz w:val="16"/>
                <w:szCs w:val="16"/>
              </w:rPr>
              <w:t xml:space="preserve">(a) </w:t>
            </w:r>
            <w:r>
              <w:rPr>
                <w:bCs/>
                <w:sz w:val="16"/>
                <w:szCs w:val="16"/>
              </w:rPr>
              <w:t xml:space="preserve"> </w:t>
            </w:r>
            <w:r w:rsidRPr="00BE5FE4">
              <w:rPr>
                <w:bCs/>
                <w:sz w:val="16"/>
                <w:szCs w:val="16"/>
              </w:rPr>
              <w:t xml:space="preserve">Have the </w:t>
            </w:r>
            <w:r>
              <w:rPr>
                <w:bCs/>
                <w:sz w:val="16"/>
                <w:szCs w:val="16"/>
              </w:rPr>
              <w:t xml:space="preserve">following </w:t>
            </w:r>
            <w:r w:rsidRPr="00BE5FE4">
              <w:rPr>
                <w:bCs/>
                <w:sz w:val="16"/>
                <w:szCs w:val="16"/>
              </w:rPr>
              <w:t xml:space="preserve">PHA Plan elements been revised by the PHA since its last </w:t>
            </w:r>
            <w:r w:rsidR="008F3A84" w:rsidRPr="00486BAA">
              <w:rPr>
                <w:b/>
                <w:bCs/>
                <w:sz w:val="16"/>
                <w:szCs w:val="16"/>
              </w:rPr>
              <w:t>Annual</w:t>
            </w:r>
            <w:r w:rsidR="00D9562F" w:rsidRPr="00FE77BB">
              <w:rPr>
                <w:b/>
                <w:sz w:val="16"/>
              </w:rPr>
              <w:t xml:space="preserve"> </w:t>
            </w:r>
            <w:r w:rsidR="00D9562F" w:rsidRPr="00D9562F">
              <w:rPr>
                <w:b/>
                <w:bCs/>
                <w:sz w:val="16"/>
                <w:szCs w:val="16"/>
                <w:u w:val="single"/>
              </w:rPr>
              <w:t>PHA Plan</w:t>
            </w:r>
            <w:r w:rsidRPr="00BE5FE4">
              <w:rPr>
                <w:bCs/>
                <w:sz w:val="16"/>
                <w:szCs w:val="16"/>
              </w:rPr>
              <w:t xml:space="preserve"> submission?</w:t>
            </w:r>
          </w:p>
          <w:p w:rsidR="00D67408" w:rsidRPr="00BE5FE4" w:rsidRDefault="00D67408" w:rsidP="00D67408">
            <w:pPr>
              <w:rPr>
                <w:bCs/>
                <w:sz w:val="16"/>
                <w:szCs w:val="16"/>
              </w:rPr>
            </w:pPr>
          </w:p>
          <w:p w:rsidR="00D67408" w:rsidRPr="00BE5FE4" w:rsidRDefault="00D67408" w:rsidP="00D67408">
            <w:pPr>
              <w:rPr>
                <w:bCs/>
                <w:sz w:val="16"/>
                <w:szCs w:val="16"/>
              </w:rPr>
            </w:pPr>
            <w:r>
              <w:rPr>
                <w:bCs/>
                <w:sz w:val="16"/>
                <w:szCs w:val="16"/>
              </w:rPr>
              <w:t xml:space="preserve">Y    N </w:t>
            </w:r>
          </w:p>
          <w:p w:rsidR="00D67408" w:rsidRDefault="002D49BB"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CD3E80">
              <w:rPr>
                <w:bCs/>
                <w:sz w:val="16"/>
                <w:szCs w:val="16"/>
              </w:rPr>
            </w:r>
            <w:r w:rsidR="00CD3E80">
              <w:rPr>
                <w:bCs/>
                <w:sz w:val="16"/>
                <w:szCs w:val="16"/>
              </w:rPr>
              <w:fldChar w:fldCharType="separate"/>
            </w:r>
            <w:r w:rsidRPr="00BE5FE4">
              <w:rPr>
                <w:bCs/>
                <w:sz w:val="16"/>
                <w:szCs w:val="16"/>
              </w:rPr>
              <w:fldChar w:fldCharType="end"/>
            </w:r>
            <w:r w:rsidR="00D67408" w:rsidRPr="00BE5FE4">
              <w:rPr>
                <w:bCs/>
                <w:sz w:val="16"/>
                <w:szCs w:val="16"/>
              </w:rPr>
              <w:t xml:space="preserve">  </w:t>
            </w:r>
            <w:r>
              <w:rPr>
                <w:bCs/>
                <w:sz w:val="16"/>
                <w:szCs w:val="16"/>
              </w:rPr>
              <w:fldChar w:fldCharType="begin">
                <w:ffData>
                  <w:name w:val=""/>
                  <w:enabled/>
                  <w:calcOnExit w:val="0"/>
                  <w:checkBox>
                    <w:sizeAuto/>
                    <w:default w:val="1"/>
                  </w:checkBox>
                </w:ffData>
              </w:fldChar>
            </w:r>
            <w:r w:rsidR="00A30485">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D67408" w:rsidRPr="00BE5FE4">
              <w:rPr>
                <w:bCs/>
                <w:sz w:val="16"/>
                <w:szCs w:val="16"/>
              </w:rPr>
              <w:t xml:space="preserve">  </w:t>
            </w:r>
            <w:r w:rsidR="00D67408">
              <w:rPr>
                <w:bCs/>
                <w:sz w:val="16"/>
                <w:szCs w:val="16"/>
              </w:rPr>
              <w:t>Sta</w:t>
            </w:r>
            <w:r w:rsidR="004D5F68">
              <w:rPr>
                <w:bCs/>
                <w:sz w:val="16"/>
                <w:szCs w:val="16"/>
              </w:rPr>
              <w:t xml:space="preserve">tement of Housing Needs and </w:t>
            </w:r>
            <w:r w:rsidR="00D67408">
              <w:rPr>
                <w:bCs/>
                <w:sz w:val="16"/>
                <w:szCs w:val="16"/>
              </w:rPr>
              <w:t xml:space="preserve">Strategy for Addressing Housing Needs.  </w:t>
            </w:r>
            <w:r w:rsidR="00D67408" w:rsidRPr="00BE5FE4">
              <w:rPr>
                <w:bCs/>
                <w:sz w:val="16"/>
                <w:szCs w:val="16"/>
              </w:rPr>
              <w:t xml:space="preserve">  </w:t>
            </w:r>
          </w:p>
          <w:p w:rsidR="00D67408" w:rsidRDefault="002D49BB"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CD3E80">
              <w:rPr>
                <w:bCs/>
                <w:sz w:val="16"/>
                <w:szCs w:val="16"/>
              </w:rPr>
            </w:r>
            <w:r w:rsidR="00CD3E80">
              <w:rPr>
                <w:bCs/>
                <w:sz w:val="16"/>
                <w:szCs w:val="16"/>
              </w:rPr>
              <w:fldChar w:fldCharType="separate"/>
            </w:r>
            <w:r w:rsidRPr="00BE5FE4">
              <w:rPr>
                <w:bCs/>
                <w:sz w:val="16"/>
                <w:szCs w:val="16"/>
              </w:rPr>
              <w:fldChar w:fldCharType="end"/>
            </w:r>
            <w:r w:rsidR="00D67408" w:rsidRPr="00BE5FE4">
              <w:rPr>
                <w:bCs/>
                <w:sz w:val="16"/>
                <w:szCs w:val="16"/>
              </w:rPr>
              <w:t xml:space="preserve">  </w:t>
            </w:r>
            <w:r>
              <w:rPr>
                <w:bCs/>
                <w:sz w:val="16"/>
                <w:szCs w:val="16"/>
              </w:rPr>
              <w:fldChar w:fldCharType="begin">
                <w:ffData>
                  <w:name w:val=""/>
                  <w:enabled/>
                  <w:calcOnExit w:val="0"/>
                  <w:checkBox>
                    <w:sizeAuto/>
                    <w:default w:val="1"/>
                  </w:checkBox>
                </w:ffData>
              </w:fldChar>
            </w:r>
            <w:r w:rsidR="00A30485">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D67408" w:rsidRPr="00BE5FE4">
              <w:rPr>
                <w:bCs/>
                <w:sz w:val="16"/>
                <w:szCs w:val="16"/>
              </w:rPr>
              <w:t xml:space="preserve">  </w:t>
            </w:r>
            <w:proofErr w:type="spellStart"/>
            <w:r w:rsidR="00365123">
              <w:rPr>
                <w:bCs/>
                <w:sz w:val="16"/>
                <w:szCs w:val="16"/>
              </w:rPr>
              <w:t>Deconcentration</w:t>
            </w:r>
            <w:proofErr w:type="spellEnd"/>
            <w:r w:rsidR="00365123">
              <w:rPr>
                <w:bCs/>
                <w:sz w:val="16"/>
                <w:szCs w:val="16"/>
              </w:rPr>
              <w:t xml:space="preserve"> and Other Policies that Govern </w:t>
            </w:r>
            <w:r w:rsidR="00D67408" w:rsidRPr="00BE5FE4">
              <w:rPr>
                <w:bCs/>
                <w:sz w:val="16"/>
                <w:szCs w:val="16"/>
              </w:rPr>
              <w:t>Eligibili</w:t>
            </w:r>
            <w:r w:rsidR="00365123">
              <w:rPr>
                <w:bCs/>
                <w:sz w:val="16"/>
                <w:szCs w:val="16"/>
              </w:rPr>
              <w:t xml:space="preserve">ty, Selection, and </w:t>
            </w:r>
            <w:r w:rsidR="00D67408">
              <w:rPr>
                <w:bCs/>
                <w:sz w:val="16"/>
                <w:szCs w:val="16"/>
              </w:rPr>
              <w:t>Ad</w:t>
            </w:r>
            <w:r w:rsidR="00365123">
              <w:rPr>
                <w:bCs/>
                <w:sz w:val="16"/>
                <w:szCs w:val="16"/>
              </w:rPr>
              <w:t>missions</w:t>
            </w:r>
            <w:r w:rsidR="00D67408" w:rsidRPr="00BE5FE4">
              <w:rPr>
                <w:bCs/>
                <w:sz w:val="16"/>
                <w:szCs w:val="16"/>
              </w:rPr>
              <w:t xml:space="preserve">.  </w:t>
            </w:r>
            <w:r w:rsidR="00D67408">
              <w:rPr>
                <w:bCs/>
                <w:sz w:val="16"/>
                <w:szCs w:val="16"/>
              </w:rPr>
              <w:t xml:space="preserve">  </w:t>
            </w:r>
          </w:p>
          <w:p w:rsidR="00D67408" w:rsidRPr="00BE5FE4" w:rsidRDefault="002D49BB"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CD3E80">
              <w:rPr>
                <w:bCs/>
                <w:sz w:val="16"/>
                <w:szCs w:val="16"/>
              </w:rPr>
            </w:r>
            <w:r w:rsidR="00CD3E80">
              <w:rPr>
                <w:bCs/>
                <w:sz w:val="16"/>
                <w:szCs w:val="16"/>
              </w:rPr>
              <w:fldChar w:fldCharType="separate"/>
            </w:r>
            <w:r w:rsidRPr="00BE5FE4">
              <w:rPr>
                <w:bCs/>
                <w:sz w:val="16"/>
                <w:szCs w:val="16"/>
              </w:rPr>
              <w:fldChar w:fldCharType="end"/>
            </w:r>
            <w:r w:rsidR="00D67408" w:rsidRPr="00BE5FE4">
              <w:rPr>
                <w:bCs/>
                <w:sz w:val="16"/>
                <w:szCs w:val="16"/>
              </w:rPr>
              <w:t xml:space="preserve">  </w:t>
            </w:r>
            <w:r>
              <w:rPr>
                <w:bCs/>
                <w:sz w:val="16"/>
                <w:szCs w:val="16"/>
              </w:rPr>
              <w:fldChar w:fldCharType="begin">
                <w:ffData>
                  <w:name w:val=""/>
                  <w:enabled/>
                  <w:calcOnExit w:val="0"/>
                  <w:checkBox>
                    <w:sizeAuto/>
                    <w:default w:val="1"/>
                  </w:checkBox>
                </w:ffData>
              </w:fldChar>
            </w:r>
            <w:r w:rsidR="00A30485">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D67408" w:rsidRPr="00BE5FE4">
              <w:rPr>
                <w:bCs/>
                <w:sz w:val="16"/>
                <w:szCs w:val="16"/>
              </w:rPr>
              <w:t xml:space="preserve">  Financial Resources. </w:t>
            </w:r>
          </w:p>
          <w:p w:rsidR="00D67408" w:rsidRPr="00BE5FE4" w:rsidRDefault="0079092C" w:rsidP="00D67408">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D67408"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D67408" w:rsidRPr="00BE5FE4">
              <w:rPr>
                <w:bCs/>
                <w:sz w:val="16"/>
                <w:szCs w:val="16"/>
              </w:rPr>
              <w:t xml:space="preserve">  Rent Determination.  </w:t>
            </w:r>
            <w:r w:rsidR="00D67408">
              <w:rPr>
                <w:bCs/>
                <w:sz w:val="16"/>
                <w:szCs w:val="16"/>
              </w:rPr>
              <w:t xml:space="preserve">     </w:t>
            </w:r>
          </w:p>
          <w:p w:rsidR="00C17144" w:rsidRDefault="002D49BB"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CD3E80">
              <w:rPr>
                <w:bCs/>
                <w:sz w:val="16"/>
                <w:szCs w:val="16"/>
              </w:rPr>
            </w:r>
            <w:r w:rsidR="00CD3E80">
              <w:rPr>
                <w:bCs/>
                <w:sz w:val="16"/>
                <w:szCs w:val="16"/>
              </w:rPr>
              <w:fldChar w:fldCharType="separate"/>
            </w:r>
            <w:r w:rsidRPr="00BE5FE4">
              <w:rPr>
                <w:bCs/>
                <w:sz w:val="16"/>
                <w:szCs w:val="16"/>
              </w:rPr>
              <w:fldChar w:fldCharType="end"/>
            </w:r>
            <w:r w:rsidR="00D67408" w:rsidRPr="00BE5FE4">
              <w:rPr>
                <w:bCs/>
                <w:sz w:val="16"/>
                <w:szCs w:val="16"/>
              </w:rPr>
              <w:t xml:space="preserve">  </w:t>
            </w:r>
            <w:r>
              <w:rPr>
                <w:bCs/>
                <w:sz w:val="16"/>
                <w:szCs w:val="16"/>
              </w:rPr>
              <w:fldChar w:fldCharType="begin">
                <w:ffData>
                  <w:name w:val=""/>
                  <w:enabled/>
                  <w:calcOnExit w:val="0"/>
                  <w:checkBox>
                    <w:sizeAuto/>
                    <w:default w:val="1"/>
                  </w:checkBox>
                </w:ffData>
              </w:fldChar>
            </w:r>
            <w:r w:rsidR="00A30485">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D67408" w:rsidRPr="00BE5FE4">
              <w:rPr>
                <w:bCs/>
                <w:sz w:val="16"/>
                <w:szCs w:val="16"/>
              </w:rPr>
              <w:t xml:space="preserve">  Homeownership Programs.  </w:t>
            </w:r>
            <w:r w:rsidR="00D67408">
              <w:rPr>
                <w:bCs/>
                <w:sz w:val="16"/>
                <w:szCs w:val="16"/>
              </w:rPr>
              <w:t xml:space="preserve">  </w:t>
            </w:r>
          </w:p>
          <w:p w:rsidR="00C17144" w:rsidRDefault="0079092C" w:rsidP="00D67408">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C17144"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C17144" w:rsidRPr="00BE5FE4">
              <w:rPr>
                <w:bCs/>
                <w:sz w:val="16"/>
                <w:szCs w:val="16"/>
              </w:rPr>
              <w:t xml:space="preserve">  </w:t>
            </w:r>
            <w:r w:rsidR="00C17144">
              <w:rPr>
                <w:bCs/>
                <w:sz w:val="16"/>
                <w:szCs w:val="16"/>
              </w:rPr>
              <w:t>Safety and Crime Prevention</w:t>
            </w:r>
            <w:r w:rsidR="00C17144" w:rsidRPr="00BE5FE4">
              <w:rPr>
                <w:bCs/>
                <w:sz w:val="16"/>
                <w:szCs w:val="16"/>
              </w:rPr>
              <w:t xml:space="preserve">. </w:t>
            </w:r>
          </w:p>
          <w:p w:rsidR="00D67408" w:rsidRDefault="0079092C" w:rsidP="00D67408">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C17144"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CD3E80">
              <w:rPr>
                <w:bCs/>
                <w:sz w:val="16"/>
                <w:szCs w:val="16"/>
              </w:rPr>
            </w:r>
            <w:r w:rsidR="00CD3E80">
              <w:rPr>
                <w:bCs/>
                <w:sz w:val="16"/>
                <w:szCs w:val="16"/>
              </w:rPr>
              <w:fldChar w:fldCharType="separate"/>
            </w:r>
            <w:r>
              <w:rPr>
                <w:bCs/>
                <w:sz w:val="16"/>
                <w:szCs w:val="16"/>
              </w:rPr>
              <w:fldChar w:fldCharType="end"/>
            </w:r>
            <w:r w:rsidR="00C17144" w:rsidRPr="00BE5FE4">
              <w:rPr>
                <w:bCs/>
                <w:sz w:val="16"/>
                <w:szCs w:val="16"/>
              </w:rPr>
              <w:t xml:space="preserve">  </w:t>
            </w:r>
            <w:r w:rsidR="00C17144">
              <w:rPr>
                <w:bCs/>
                <w:sz w:val="16"/>
                <w:szCs w:val="16"/>
              </w:rPr>
              <w:t xml:space="preserve">Pet Policy. </w:t>
            </w:r>
            <w:r w:rsidR="00D67408">
              <w:rPr>
                <w:bCs/>
                <w:sz w:val="16"/>
                <w:szCs w:val="16"/>
              </w:rPr>
              <w:t xml:space="preserve"> </w:t>
            </w:r>
            <w:r w:rsidR="00C17144">
              <w:rPr>
                <w:bCs/>
                <w:sz w:val="16"/>
                <w:szCs w:val="16"/>
              </w:rPr>
              <w:t xml:space="preserve">  </w:t>
            </w:r>
            <w:r w:rsidR="00D67408">
              <w:rPr>
                <w:bCs/>
                <w:sz w:val="16"/>
                <w:szCs w:val="16"/>
              </w:rPr>
              <w:t xml:space="preserve">   </w:t>
            </w:r>
          </w:p>
          <w:p w:rsidR="00D67408" w:rsidRDefault="00B22218" w:rsidP="00D67408">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D67408" w:rsidRPr="000B2633">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D67408" w:rsidRPr="000B2633">
              <w:rPr>
                <w:smallCaps/>
                <w:sz w:val="16"/>
                <w:szCs w:val="16"/>
              </w:rPr>
              <w:t xml:space="preserve">  </w:t>
            </w:r>
            <w:r w:rsidR="00D67408">
              <w:rPr>
                <w:bCs/>
                <w:sz w:val="16"/>
                <w:szCs w:val="16"/>
              </w:rPr>
              <w:t xml:space="preserve">Substantial Deviation.  </w:t>
            </w:r>
          </w:p>
          <w:p w:rsidR="00D67408" w:rsidRDefault="0079092C" w:rsidP="00D67408">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D67408" w:rsidRPr="000B2633">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D67408" w:rsidRPr="000B2633">
              <w:rPr>
                <w:smallCaps/>
                <w:sz w:val="16"/>
                <w:szCs w:val="16"/>
              </w:rPr>
              <w:t xml:space="preserve">  </w:t>
            </w:r>
            <w:r w:rsidR="00D67408">
              <w:rPr>
                <w:bCs/>
                <w:sz w:val="16"/>
                <w:szCs w:val="16"/>
              </w:rPr>
              <w:t xml:space="preserve">Significant Amendment/Modification  </w:t>
            </w:r>
          </w:p>
          <w:p w:rsidR="00D67408" w:rsidRDefault="00D67408" w:rsidP="00D67408">
            <w:pPr>
              <w:rPr>
                <w:bCs/>
                <w:sz w:val="16"/>
                <w:szCs w:val="16"/>
              </w:rPr>
            </w:pPr>
          </w:p>
          <w:p w:rsidR="001F04B2" w:rsidRDefault="00D67408" w:rsidP="00D67408">
            <w:pPr>
              <w:rPr>
                <w:bCs/>
                <w:sz w:val="16"/>
                <w:szCs w:val="16"/>
              </w:rPr>
            </w:pPr>
            <w:r>
              <w:rPr>
                <w:bCs/>
                <w:sz w:val="16"/>
                <w:szCs w:val="16"/>
              </w:rPr>
              <w:t xml:space="preserve">(b)  </w:t>
            </w:r>
            <w:r w:rsidR="001F04B2">
              <w:rPr>
                <w:bCs/>
                <w:sz w:val="16"/>
                <w:szCs w:val="16"/>
              </w:rPr>
              <w:t xml:space="preserve">The PHA must submit its </w:t>
            </w:r>
            <w:proofErr w:type="spellStart"/>
            <w:r w:rsidR="001F04B2">
              <w:rPr>
                <w:bCs/>
                <w:sz w:val="16"/>
                <w:szCs w:val="16"/>
              </w:rPr>
              <w:t>Deconcentration</w:t>
            </w:r>
            <w:proofErr w:type="spellEnd"/>
            <w:r w:rsidR="001F04B2">
              <w:rPr>
                <w:bCs/>
                <w:sz w:val="16"/>
                <w:szCs w:val="16"/>
              </w:rPr>
              <w:t xml:space="preserve"> P</w:t>
            </w:r>
            <w:r w:rsidR="00575518">
              <w:rPr>
                <w:bCs/>
                <w:sz w:val="16"/>
                <w:szCs w:val="16"/>
              </w:rPr>
              <w:t>olicy</w:t>
            </w:r>
            <w:r w:rsidR="001F04B2">
              <w:rPr>
                <w:bCs/>
                <w:sz w:val="16"/>
                <w:szCs w:val="16"/>
              </w:rPr>
              <w:t xml:space="preserve"> for Field Office Review.</w:t>
            </w:r>
          </w:p>
          <w:p w:rsidR="001F04B2" w:rsidRDefault="001F04B2" w:rsidP="00D67408">
            <w:pPr>
              <w:rPr>
                <w:bCs/>
                <w:sz w:val="16"/>
                <w:szCs w:val="16"/>
              </w:rPr>
            </w:pPr>
          </w:p>
          <w:p w:rsidR="00D67408" w:rsidRDefault="001F04B2" w:rsidP="00D67408">
            <w:pPr>
              <w:rPr>
                <w:bCs/>
                <w:sz w:val="16"/>
                <w:szCs w:val="16"/>
              </w:rPr>
            </w:pPr>
            <w:r>
              <w:rPr>
                <w:bCs/>
                <w:sz w:val="16"/>
                <w:szCs w:val="16"/>
              </w:rPr>
              <w:t xml:space="preserve">(c) </w:t>
            </w:r>
            <w:r w:rsidR="00D67408">
              <w:rPr>
                <w:bCs/>
                <w:sz w:val="16"/>
                <w:szCs w:val="16"/>
              </w:rPr>
              <w:t>If the PHA answered yes for any element, describe the revisions for each el</w:t>
            </w:r>
            <w:r>
              <w:rPr>
                <w:bCs/>
                <w:sz w:val="16"/>
                <w:szCs w:val="16"/>
              </w:rPr>
              <w:t>ement below</w:t>
            </w:r>
            <w:r w:rsidR="00D67408">
              <w:rPr>
                <w:bCs/>
                <w:sz w:val="16"/>
                <w:szCs w:val="16"/>
              </w:rPr>
              <w:t>:</w:t>
            </w: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B22218" w:rsidRPr="00B22218" w:rsidRDefault="00B22218" w:rsidP="00B22218">
            <w:pPr>
              <w:rPr>
                <w:b/>
                <w:sz w:val="18"/>
              </w:rPr>
            </w:pPr>
            <w:r w:rsidRPr="00B22218">
              <w:rPr>
                <w:b/>
                <w:sz w:val="18"/>
              </w:rPr>
              <w:t>Chapter 10-Pets 10-II.C. Standards for Pets-Number of Pets</w:t>
            </w:r>
          </w:p>
          <w:p w:rsidR="00B22218" w:rsidRPr="00B22218" w:rsidRDefault="00B22218" w:rsidP="00B22218">
            <w:pPr>
              <w:spacing w:before="120"/>
              <w:rPr>
                <w:i/>
                <w:sz w:val="18"/>
              </w:rPr>
            </w:pPr>
            <w:r w:rsidRPr="00B22218">
              <w:rPr>
                <w:i/>
                <w:sz w:val="18"/>
              </w:rPr>
              <w:t>Residents may own a maximum of 2 pets, only 1 of which may be a dog.</w:t>
            </w:r>
          </w:p>
          <w:p w:rsidR="00B22218" w:rsidRPr="00B22218" w:rsidRDefault="00B22218" w:rsidP="00B22218">
            <w:pPr>
              <w:spacing w:before="120"/>
              <w:rPr>
                <w:i/>
                <w:sz w:val="18"/>
              </w:rPr>
            </w:pPr>
            <w:r w:rsidRPr="00B22218">
              <w:rPr>
                <w:i/>
                <w:sz w:val="18"/>
              </w:rPr>
              <w:t>In the case of fish, residents may keep no more than can be maintained in a safe and healthy manner in a tank holding up to 10 gallons. Such a tank or aquarium will be counted as 1 pet.</w:t>
            </w: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923934" w:rsidRDefault="00923934" w:rsidP="00D67408">
            <w:pPr>
              <w:rPr>
                <w:bCs/>
                <w:sz w:val="16"/>
                <w:szCs w:val="16"/>
              </w:rPr>
            </w:pPr>
          </w:p>
          <w:p w:rsidR="00E97EBE" w:rsidRDefault="00E97EBE" w:rsidP="00D67408">
            <w:pPr>
              <w:rPr>
                <w:bCs/>
                <w:sz w:val="16"/>
                <w:szCs w:val="16"/>
              </w:rPr>
            </w:pPr>
          </w:p>
          <w:p w:rsidR="00E97EBE" w:rsidRDefault="00E97EBE" w:rsidP="00D67408">
            <w:pPr>
              <w:rPr>
                <w:bCs/>
                <w:sz w:val="16"/>
                <w:szCs w:val="16"/>
              </w:rPr>
            </w:pPr>
          </w:p>
          <w:p w:rsidR="008A766F" w:rsidRPr="00D32426" w:rsidRDefault="008A766F" w:rsidP="000E63B9">
            <w:pPr>
              <w:rPr>
                <w:bCs/>
                <w:sz w:val="16"/>
                <w:szCs w:val="16"/>
              </w:rPr>
            </w:pPr>
          </w:p>
        </w:tc>
      </w:tr>
      <w:tr w:rsidR="00A30485"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A30485" w:rsidRDefault="00A30485" w:rsidP="00A203E5">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rsidR="0079092C" w:rsidRPr="0079092C" w:rsidRDefault="0079092C" w:rsidP="0079092C">
            <w:pPr>
              <w:rPr>
                <w:b/>
                <w:sz w:val="14"/>
                <w:szCs w:val="14"/>
              </w:rPr>
            </w:pPr>
            <w:r w:rsidRPr="0079092C">
              <w:rPr>
                <w:b/>
                <w:sz w:val="14"/>
                <w:szCs w:val="14"/>
              </w:rPr>
              <w:t>CHANGES TO THE 2017 ACOPP</w:t>
            </w:r>
          </w:p>
          <w:p w:rsidR="0079092C" w:rsidRPr="0079092C" w:rsidRDefault="0079092C" w:rsidP="0079092C">
            <w:pPr>
              <w:rPr>
                <w:b/>
                <w:sz w:val="14"/>
                <w:szCs w:val="14"/>
              </w:rPr>
            </w:pPr>
            <w:r w:rsidRPr="0079092C">
              <w:rPr>
                <w:b/>
                <w:sz w:val="14"/>
                <w:szCs w:val="14"/>
              </w:rPr>
              <w:t>Chapter 3-Eligibility 3-I.L. Absent Family Members-Individuals Confined for Medical Reasons</w:t>
            </w:r>
          </w:p>
          <w:p w:rsidR="0079092C" w:rsidRPr="0079092C" w:rsidRDefault="0079092C" w:rsidP="0079092C">
            <w:pPr>
              <w:rPr>
                <w:i/>
                <w:sz w:val="14"/>
                <w:szCs w:val="14"/>
              </w:rPr>
            </w:pPr>
            <w:r w:rsidRPr="0079092C">
              <w:rPr>
                <w:i/>
                <w:sz w:val="14"/>
                <w:szCs w:val="14"/>
              </w:rPr>
              <w:t>An individual confined to a nursing home or hospital on a permanent basis is not considered a family member.</w:t>
            </w:r>
          </w:p>
          <w:p w:rsidR="0079092C" w:rsidRPr="0079092C" w:rsidRDefault="0079092C" w:rsidP="0079092C">
            <w:pPr>
              <w:rPr>
                <w:b/>
                <w:sz w:val="14"/>
                <w:szCs w:val="14"/>
              </w:rPr>
            </w:pPr>
            <w:r w:rsidRPr="0079092C">
              <w:rPr>
                <w:b/>
                <w:sz w:val="14"/>
                <w:szCs w:val="14"/>
              </w:rPr>
              <w:t>Chapter 3-Eligibility 3-III.B. Required Denial of Admission [24 CFR 960.204]</w:t>
            </w:r>
          </w:p>
          <w:p w:rsidR="0079092C" w:rsidRPr="0079092C" w:rsidRDefault="0079092C" w:rsidP="0079092C">
            <w:pPr>
              <w:rPr>
                <w:i/>
                <w:sz w:val="14"/>
                <w:szCs w:val="14"/>
              </w:rPr>
            </w:pPr>
            <w:r w:rsidRPr="0079092C">
              <w:rPr>
                <w:i/>
                <w:sz w:val="14"/>
                <w:szCs w:val="14"/>
              </w:rPr>
              <w:t>Currently engaged in is defined as any use of illegal drugs during the previous six months.</w:t>
            </w:r>
          </w:p>
          <w:p w:rsidR="0079092C" w:rsidRPr="0079092C" w:rsidRDefault="0079092C" w:rsidP="0079092C">
            <w:pPr>
              <w:rPr>
                <w:b/>
                <w:bCs/>
                <w:sz w:val="14"/>
                <w:szCs w:val="14"/>
              </w:rPr>
            </w:pPr>
            <w:r w:rsidRPr="0079092C">
              <w:rPr>
                <w:b/>
                <w:bCs/>
                <w:sz w:val="14"/>
                <w:szCs w:val="14"/>
              </w:rPr>
              <w:t>Chapter 4-Applications 4-III.B. Selection Method-Local Preferences [24 CFR 960.206]</w:t>
            </w:r>
          </w:p>
          <w:p w:rsidR="0079092C" w:rsidRPr="0079092C" w:rsidRDefault="0079092C" w:rsidP="0079092C">
            <w:pPr>
              <w:rPr>
                <w:bCs/>
                <w:i/>
                <w:sz w:val="14"/>
                <w:szCs w:val="14"/>
              </w:rPr>
            </w:pPr>
            <w:proofErr w:type="gramStart"/>
            <w:r w:rsidRPr="0079092C">
              <w:rPr>
                <w:i/>
                <w:sz w:val="14"/>
                <w:szCs w:val="14"/>
              </w:rPr>
              <w:t>In order to</w:t>
            </w:r>
            <w:proofErr w:type="gramEnd"/>
            <w:r w:rsidRPr="0079092C">
              <w:rPr>
                <w:i/>
                <w:sz w:val="14"/>
                <w:szCs w:val="14"/>
              </w:rPr>
              <w:t xml:space="preserve"> bring higher income families into public housing, the PHA will establish a preference for “working” families, where the head, spouse, cohead, or sole member is employed at least 20 hours per week.</w:t>
            </w:r>
          </w:p>
          <w:p w:rsidR="0079092C" w:rsidRPr="0079092C" w:rsidRDefault="0079092C" w:rsidP="0079092C">
            <w:pPr>
              <w:rPr>
                <w:b/>
                <w:sz w:val="14"/>
                <w:szCs w:val="14"/>
              </w:rPr>
            </w:pPr>
            <w:r w:rsidRPr="0079092C">
              <w:rPr>
                <w:b/>
                <w:sz w:val="14"/>
                <w:szCs w:val="14"/>
              </w:rPr>
              <w:t>Chapter 5-Occupancy 5-II.B. Number of Offers</w:t>
            </w:r>
            <w:r>
              <w:rPr>
                <w:b/>
                <w:sz w:val="14"/>
                <w:szCs w:val="14"/>
              </w:rPr>
              <w:t xml:space="preserve"> </w:t>
            </w:r>
            <w:r w:rsidRPr="0079092C">
              <w:rPr>
                <w:i/>
                <w:sz w:val="14"/>
                <w:szCs w:val="14"/>
              </w:rPr>
              <w:t xml:space="preserve">the Housing Authority of Danville has adopted a “two offer </w:t>
            </w:r>
            <w:proofErr w:type="gramStart"/>
            <w:r w:rsidRPr="0079092C">
              <w:rPr>
                <w:i/>
                <w:sz w:val="14"/>
                <w:szCs w:val="14"/>
              </w:rPr>
              <w:t>plan</w:t>
            </w:r>
            <w:proofErr w:type="gramEnd"/>
            <w:r w:rsidRPr="0079092C">
              <w:rPr>
                <w:i/>
                <w:sz w:val="14"/>
                <w:szCs w:val="14"/>
              </w:rPr>
              <w:t>” for offering units to applicants. Under this plan, the PHA will determine how many locations within its jurisdiction have available units of suitable size and type in the appropriate type of project. The number of unit offers will be based on the distribution of vacancies. If a suitable unit is available in:</w:t>
            </w:r>
          </w:p>
          <w:p w:rsidR="0079092C" w:rsidRPr="0079092C" w:rsidRDefault="0079092C" w:rsidP="00923934">
            <w:pPr>
              <w:pStyle w:val="MarginBulletCharChar"/>
              <w:numPr>
                <w:ilvl w:val="0"/>
                <w:numId w:val="0"/>
              </w:numPr>
              <w:tabs>
                <w:tab w:val="clear" w:pos="360"/>
                <w:tab w:val="clear" w:pos="1440"/>
              </w:tabs>
              <w:ind w:left="720"/>
              <w:rPr>
                <w:i/>
                <w:sz w:val="14"/>
                <w:szCs w:val="14"/>
              </w:rPr>
            </w:pPr>
            <w:r w:rsidRPr="0079092C">
              <w:rPr>
                <w:i/>
                <w:sz w:val="14"/>
                <w:szCs w:val="14"/>
                <w:u w:val="single"/>
              </w:rPr>
              <w:t>Two (2) locations:</w:t>
            </w:r>
            <w:r w:rsidRPr="0079092C">
              <w:rPr>
                <w:i/>
                <w:sz w:val="14"/>
                <w:szCs w:val="14"/>
              </w:rPr>
              <w:t xml:space="preserve"> The applicant will be offered a suitable unit in the location with the higher number of vacancies. If the offer is rejected, a final offer will be made at the other location. The offers will be made in sequence and the applicant must refuse the first offer before a second offer is made.</w:t>
            </w:r>
          </w:p>
          <w:p w:rsidR="0079092C" w:rsidRPr="0079092C" w:rsidRDefault="0079092C" w:rsidP="0079092C">
            <w:pPr>
              <w:pStyle w:val="MarginBulletCharChar"/>
              <w:numPr>
                <w:ilvl w:val="0"/>
                <w:numId w:val="0"/>
              </w:numPr>
              <w:tabs>
                <w:tab w:val="clear" w:pos="360"/>
                <w:tab w:val="clear" w:pos="1440"/>
              </w:tabs>
              <w:ind w:left="720"/>
              <w:rPr>
                <w:i/>
                <w:sz w:val="14"/>
                <w:szCs w:val="14"/>
              </w:rPr>
            </w:pPr>
            <w:r w:rsidRPr="0079092C">
              <w:rPr>
                <w:i/>
                <w:sz w:val="14"/>
                <w:szCs w:val="14"/>
              </w:rPr>
              <w:t>If more than one unit of the appropriate type and size is available, the first unit to be offered will be the first unit that is ready for occupancy.</w:t>
            </w:r>
          </w:p>
          <w:p w:rsidR="0079092C" w:rsidRPr="0079092C" w:rsidRDefault="0079092C" w:rsidP="0079092C">
            <w:pPr>
              <w:rPr>
                <w:i/>
                <w:sz w:val="14"/>
                <w:szCs w:val="14"/>
              </w:rPr>
            </w:pPr>
            <w:r w:rsidRPr="0079092C">
              <w:rPr>
                <w:b/>
                <w:sz w:val="14"/>
                <w:szCs w:val="14"/>
              </w:rPr>
              <w:t>Chapter 7-Verification 7-II.B. Social Security Numbers [24 CFR 5.216 and Notice PIH 2012-10]</w:t>
            </w:r>
            <w:r w:rsidR="00923934">
              <w:rPr>
                <w:b/>
                <w:sz w:val="14"/>
                <w:szCs w:val="14"/>
              </w:rPr>
              <w:t xml:space="preserve">. </w:t>
            </w:r>
            <w:r w:rsidRPr="0079092C">
              <w:rPr>
                <w:i/>
                <w:sz w:val="14"/>
                <w:szCs w:val="14"/>
              </w:rPr>
              <w:t>Once an individual’s status is classified as “verified” in HUD’s EIV system, the PHA will remove and destroy copies of documentation accepted as evidence of social security numbers.</w:t>
            </w:r>
          </w:p>
          <w:p w:rsidR="0079092C" w:rsidRPr="0079092C" w:rsidRDefault="0079092C" w:rsidP="0079092C">
            <w:pPr>
              <w:rPr>
                <w:bCs/>
                <w:i/>
                <w:sz w:val="14"/>
                <w:szCs w:val="14"/>
              </w:rPr>
            </w:pPr>
            <w:r w:rsidRPr="0079092C">
              <w:rPr>
                <w:b/>
                <w:sz w:val="14"/>
                <w:szCs w:val="14"/>
              </w:rPr>
              <w:t>Chapter 7-Verification 7-II.H. Verification of Preference Status</w:t>
            </w:r>
            <w:r w:rsidR="00923934">
              <w:rPr>
                <w:b/>
                <w:sz w:val="14"/>
                <w:szCs w:val="14"/>
              </w:rPr>
              <w:t xml:space="preserve">. </w:t>
            </w:r>
            <w:r w:rsidRPr="0079092C">
              <w:rPr>
                <w:bCs/>
                <w:i/>
                <w:sz w:val="14"/>
                <w:szCs w:val="14"/>
              </w:rPr>
              <w:t>The PHA may verify that the family qualifies for the working family preference based on the family’s submission of the working member’s most recent paycheck stub indicating that the working member works at least 20 hours per week. The paycheck stub must have been issued to the working member within the last thirty days.</w:t>
            </w:r>
          </w:p>
          <w:p w:rsidR="0079092C" w:rsidRPr="0079092C" w:rsidRDefault="0079092C" w:rsidP="00923934">
            <w:pPr>
              <w:spacing w:before="240"/>
              <w:rPr>
                <w:i/>
                <w:sz w:val="14"/>
                <w:szCs w:val="14"/>
              </w:rPr>
            </w:pPr>
            <w:r w:rsidRPr="0079092C">
              <w:rPr>
                <w:b/>
                <w:sz w:val="14"/>
                <w:szCs w:val="14"/>
              </w:rPr>
              <w:t xml:space="preserve">Chapter 7-Verification 7-III.I. ZERO </w:t>
            </w:r>
            <w:r w:rsidRPr="0079092C">
              <w:rPr>
                <w:b/>
                <w:iCs/>
                <w:sz w:val="14"/>
                <w:szCs w:val="14"/>
              </w:rPr>
              <w:t>ANNUAL</w:t>
            </w:r>
            <w:r w:rsidRPr="0079092C">
              <w:rPr>
                <w:b/>
                <w:sz w:val="14"/>
                <w:szCs w:val="14"/>
              </w:rPr>
              <w:t xml:space="preserve"> INCOME STATUS</w:t>
            </w:r>
            <w:r w:rsidR="00923934">
              <w:rPr>
                <w:b/>
                <w:sz w:val="14"/>
                <w:szCs w:val="14"/>
              </w:rPr>
              <w:t xml:space="preserve">. </w:t>
            </w:r>
            <w:r w:rsidRPr="0079092C">
              <w:rPr>
                <w:i/>
                <w:sz w:val="14"/>
                <w:szCs w:val="14"/>
              </w:rPr>
              <w:t xml:space="preserve">When families report zero income, and have no income excluded for rent computation, PHAs have an obligation to pursue verification of income that reflects the family’s lifestyle. One method is to examine the family’s circumstances every 60 to 90 days until they have a stable income. It is recommended that PHAs request zero income families to complete a </w:t>
            </w:r>
            <w:proofErr w:type="gramStart"/>
            <w:r w:rsidRPr="0079092C">
              <w:rPr>
                <w:i/>
                <w:sz w:val="14"/>
                <w:szCs w:val="14"/>
              </w:rPr>
              <w:t>zero income</w:t>
            </w:r>
            <w:proofErr w:type="gramEnd"/>
            <w:r w:rsidRPr="0079092C">
              <w:rPr>
                <w:i/>
                <w:sz w:val="14"/>
                <w:szCs w:val="14"/>
              </w:rPr>
              <w:t xml:space="preserve"> form. The form asks residents to estimate how much they spend on: telephone, cable TV, food, clothing, transportation, health care, child care, debts, household items, etc. and whether any of these costs are being paid by an individual outside the family. If any such payments are received they are to be considered income.</w:t>
            </w:r>
          </w:p>
          <w:p w:rsidR="0079092C" w:rsidRPr="0079092C" w:rsidRDefault="0079092C" w:rsidP="0079092C">
            <w:pPr>
              <w:ind w:left="720"/>
              <w:rPr>
                <w:bCs/>
                <w:sz w:val="14"/>
                <w:szCs w:val="14"/>
                <w:u w:val="single"/>
              </w:rPr>
            </w:pPr>
            <w:r w:rsidRPr="0079092C">
              <w:rPr>
                <w:sz w:val="14"/>
                <w:szCs w:val="14"/>
                <w:u w:val="single"/>
              </w:rPr>
              <w:t>Housing Authority of Danville</w:t>
            </w:r>
            <w:r w:rsidRPr="0079092C">
              <w:rPr>
                <w:bCs/>
                <w:sz w:val="14"/>
                <w:szCs w:val="14"/>
                <w:u w:val="single"/>
              </w:rPr>
              <w:t xml:space="preserve"> Policy</w:t>
            </w:r>
          </w:p>
          <w:p w:rsidR="0079092C" w:rsidRPr="0079092C" w:rsidRDefault="0079092C" w:rsidP="0079092C">
            <w:pPr>
              <w:ind w:left="720"/>
              <w:rPr>
                <w:bCs/>
                <w:i/>
                <w:sz w:val="14"/>
                <w:szCs w:val="14"/>
              </w:rPr>
            </w:pPr>
            <w:r w:rsidRPr="0079092C">
              <w:rPr>
                <w:bCs/>
                <w:i/>
                <w:sz w:val="14"/>
                <w:szCs w:val="14"/>
              </w:rPr>
              <w:t>The PHA may obtain credit screening reports and/or require the family to complete IRS Form 4506T to request a print-out which summarizes the previous year’s tax returns.</w:t>
            </w:r>
          </w:p>
          <w:p w:rsidR="0079092C" w:rsidRPr="0079092C" w:rsidRDefault="0079092C" w:rsidP="00923934">
            <w:pPr>
              <w:rPr>
                <w:i/>
                <w:sz w:val="14"/>
                <w:szCs w:val="14"/>
              </w:rPr>
            </w:pPr>
            <w:r w:rsidRPr="0079092C">
              <w:rPr>
                <w:b/>
                <w:sz w:val="14"/>
                <w:szCs w:val="14"/>
              </w:rPr>
              <w:t>Chapter 8-Leasing and Inspections-Exhibit 8-1: Model Smoke-Free Policy</w:t>
            </w:r>
            <w:r w:rsidR="00923934">
              <w:rPr>
                <w:b/>
                <w:sz w:val="14"/>
                <w:szCs w:val="14"/>
              </w:rPr>
              <w:t xml:space="preserve">. </w:t>
            </w:r>
            <w:r w:rsidRPr="0079092C">
              <w:rPr>
                <w:i/>
                <w:sz w:val="14"/>
                <w:szCs w:val="14"/>
              </w:rPr>
              <w:t xml:space="preserve">In accordance with HUD regulations, the Housing Authority of Danville has adopted these smoke-free policies. The policies are effective as of April 1, 2018. </w:t>
            </w:r>
          </w:p>
          <w:p w:rsidR="0079092C" w:rsidRPr="0079092C" w:rsidRDefault="0079092C" w:rsidP="0079092C">
            <w:pPr>
              <w:spacing w:before="120"/>
              <w:ind w:left="720"/>
              <w:rPr>
                <w:i/>
                <w:sz w:val="14"/>
                <w:szCs w:val="14"/>
              </w:rPr>
            </w:pPr>
            <w:r w:rsidRPr="0079092C">
              <w:rPr>
                <w:i/>
                <w:sz w:val="14"/>
                <w:szCs w:val="14"/>
              </w:rPr>
              <w:t>The PHA has not designated any smoking areas on the PHA’s property. Residents may not discard smoking products on the property.</w:t>
            </w:r>
          </w:p>
          <w:p w:rsidR="0079092C" w:rsidRPr="0079092C" w:rsidRDefault="0079092C" w:rsidP="0079092C">
            <w:pPr>
              <w:spacing w:before="120"/>
              <w:ind w:left="720"/>
              <w:rPr>
                <w:i/>
                <w:sz w:val="14"/>
                <w:szCs w:val="14"/>
              </w:rPr>
            </w:pPr>
            <w:r w:rsidRPr="0079092C">
              <w:rPr>
                <w:i/>
                <w:sz w:val="14"/>
                <w:szCs w:val="14"/>
              </w:rPr>
              <w:t xml:space="preserve">Use of ENDS is not permitted in public housing units, common areas, or in outdoor areas within 25 feet from housing and administrative buildings. </w:t>
            </w:r>
          </w:p>
          <w:p w:rsidR="0079092C" w:rsidRPr="0079092C" w:rsidRDefault="0079092C" w:rsidP="0079092C">
            <w:pPr>
              <w:spacing w:before="120"/>
              <w:ind w:left="720"/>
              <w:rPr>
                <w:i/>
                <w:sz w:val="14"/>
                <w:szCs w:val="14"/>
              </w:rPr>
            </w:pPr>
            <w:r w:rsidRPr="0079092C">
              <w:rPr>
                <w:i/>
                <w:sz w:val="14"/>
                <w:szCs w:val="14"/>
              </w:rPr>
              <w:t>The smoke-free policy will be effective for all residents, household members, employees, guests, and service persons on April 1, 2018.</w:t>
            </w:r>
          </w:p>
          <w:p w:rsidR="0079092C" w:rsidRPr="0079092C" w:rsidRDefault="0079092C" w:rsidP="0079092C">
            <w:pPr>
              <w:pStyle w:val="ListParagraph"/>
              <w:rPr>
                <w:i/>
                <w:sz w:val="14"/>
                <w:szCs w:val="14"/>
              </w:rPr>
            </w:pPr>
            <w:r w:rsidRPr="0079092C">
              <w:rPr>
                <w:b/>
                <w:i/>
                <w:sz w:val="14"/>
                <w:szCs w:val="14"/>
              </w:rPr>
              <w:t>First Complaint</w:t>
            </w:r>
            <w:r w:rsidRPr="0079092C">
              <w:rPr>
                <w:i/>
                <w:sz w:val="14"/>
                <w:szCs w:val="14"/>
              </w:rPr>
              <w:t xml:space="preserve"> – The first documented complaint will result in a written warning letter issued to the resident with a copy placed in Tenants file.  </w:t>
            </w:r>
          </w:p>
          <w:p w:rsidR="0079092C" w:rsidRPr="0079092C" w:rsidRDefault="0079092C" w:rsidP="0079092C">
            <w:pPr>
              <w:pStyle w:val="ListParagraph"/>
              <w:rPr>
                <w:i/>
                <w:sz w:val="14"/>
                <w:szCs w:val="14"/>
              </w:rPr>
            </w:pPr>
            <w:r w:rsidRPr="0079092C">
              <w:rPr>
                <w:b/>
                <w:i/>
                <w:sz w:val="14"/>
                <w:szCs w:val="14"/>
              </w:rPr>
              <w:t>Second Complaint</w:t>
            </w:r>
            <w:r w:rsidRPr="0079092C">
              <w:rPr>
                <w:i/>
                <w:sz w:val="14"/>
                <w:szCs w:val="14"/>
              </w:rPr>
              <w:t xml:space="preserve"> – The second documented complaint will result in the Housing Manager sending a letter to the Tenant requesting a meeting within 10-days.</w:t>
            </w:r>
          </w:p>
          <w:p w:rsidR="0079092C" w:rsidRPr="0079092C" w:rsidRDefault="0079092C" w:rsidP="0079092C">
            <w:pPr>
              <w:pStyle w:val="ListParagraph"/>
              <w:rPr>
                <w:i/>
                <w:sz w:val="14"/>
                <w:szCs w:val="14"/>
              </w:rPr>
            </w:pPr>
            <w:r w:rsidRPr="0079092C">
              <w:rPr>
                <w:b/>
                <w:i/>
                <w:sz w:val="14"/>
                <w:szCs w:val="14"/>
              </w:rPr>
              <w:t>Third Complaint</w:t>
            </w:r>
            <w:r w:rsidRPr="0079092C">
              <w:rPr>
                <w:i/>
                <w:sz w:val="14"/>
                <w:szCs w:val="14"/>
              </w:rPr>
              <w:t xml:space="preserve"> – The third documented complaint will result in a 30-day Proposed Notice to Vacate. The cure for this 30-day Proposed Notice would be to have no other violations including late rent payment for one (1) year from the date of the Notice, and to enroll in a smoking cessation class.</w:t>
            </w:r>
          </w:p>
          <w:p w:rsidR="0079092C" w:rsidRPr="0079092C" w:rsidRDefault="0079092C" w:rsidP="0079092C">
            <w:pPr>
              <w:spacing w:before="120"/>
              <w:rPr>
                <w:sz w:val="14"/>
                <w:szCs w:val="14"/>
              </w:rPr>
            </w:pPr>
            <w:r w:rsidRPr="0079092C">
              <w:rPr>
                <w:b/>
                <w:sz w:val="14"/>
                <w:szCs w:val="14"/>
              </w:rPr>
              <w:t>Reasonable Accommodation</w:t>
            </w:r>
            <w:r w:rsidR="00923934">
              <w:rPr>
                <w:b/>
                <w:sz w:val="14"/>
                <w:szCs w:val="14"/>
              </w:rPr>
              <w:t xml:space="preserve">. </w:t>
            </w:r>
            <w:r w:rsidRPr="0079092C">
              <w:rPr>
                <w:sz w:val="14"/>
                <w:szCs w:val="14"/>
              </w:rPr>
              <w:t xml:space="preserve">While addiction to nicotine or smoking is not a disability, the Housing Authority of Danville will provide reasonable accommodation to persons with disabilities who smoke that </w:t>
            </w:r>
            <w:proofErr w:type="gramStart"/>
            <w:r w:rsidRPr="0079092C">
              <w:rPr>
                <w:sz w:val="14"/>
                <w:szCs w:val="14"/>
              </w:rPr>
              <w:t>are in compliance with</w:t>
            </w:r>
            <w:proofErr w:type="gramEnd"/>
            <w:r w:rsidRPr="0079092C">
              <w:rPr>
                <w:sz w:val="14"/>
                <w:szCs w:val="14"/>
              </w:rPr>
              <w:t xml:space="preserve"> the requirements of this smoke-free policy.</w:t>
            </w:r>
          </w:p>
          <w:p w:rsidR="0079092C" w:rsidRPr="0079092C" w:rsidRDefault="0079092C" w:rsidP="0079092C">
            <w:pPr>
              <w:spacing w:before="240"/>
              <w:rPr>
                <w:b/>
                <w:sz w:val="14"/>
                <w:szCs w:val="14"/>
              </w:rPr>
            </w:pPr>
            <w:r w:rsidRPr="0079092C">
              <w:rPr>
                <w:b/>
                <w:sz w:val="14"/>
                <w:szCs w:val="14"/>
              </w:rPr>
              <w:t>Chapter 9-Rexaminations-9-III.C. CHANGES AFFECTING INCOME OR EXPENSES PHA-initiated Interim Reexaminations</w:t>
            </w:r>
          </w:p>
          <w:p w:rsidR="0079092C" w:rsidRPr="0079092C" w:rsidRDefault="0079092C" w:rsidP="0079092C">
            <w:pPr>
              <w:ind w:left="720"/>
              <w:rPr>
                <w:sz w:val="14"/>
                <w:szCs w:val="14"/>
                <w:u w:val="single"/>
              </w:rPr>
            </w:pPr>
            <w:r w:rsidRPr="0079092C">
              <w:rPr>
                <w:sz w:val="14"/>
                <w:szCs w:val="14"/>
                <w:u w:val="single"/>
              </w:rPr>
              <w:t>Housing Authority of Danville Policy</w:t>
            </w:r>
          </w:p>
          <w:p w:rsidR="0079092C" w:rsidRPr="0079092C" w:rsidRDefault="0079092C" w:rsidP="0079092C">
            <w:pPr>
              <w:pStyle w:val="Level1Bullet"/>
              <w:numPr>
                <w:ilvl w:val="0"/>
                <w:numId w:val="0"/>
              </w:numPr>
              <w:tabs>
                <w:tab w:val="clear" w:pos="360"/>
                <w:tab w:val="clear" w:pos="1080"/>
              </w:tabs>
              <w:ind w:left="1440"/>
              <w:rPr>
                <w:i/>
                <w:sz w:val="14"/>
                <w:szCs w:val="14"/>
              </w:rPr>
            </w:pPr>
            <w:r w:rsidRPr="0079092C">
              <w:rPr>
                <w:i/>
                <w:sz w:val="14"/>
                <w:szCs w:val="14"/>
              </w:rPr>
              <w:t xml:space="preserve">If the family has reported zero income, the PHA will conduct </w:t>
            </w:r>
            <w:proofErr w:type="gramStart"/>
            <w:r w:rsidRPr="0079092C">
              <w:rPr>
                <w:i/>
                <w:sz w:val="14"/>
                <w:szCs w:val="14"/>
              </w:rPr>
              <w:t>an interim reexamination every 3 months</w:t>
            </w:r>
            <w:proofErr w:type="gramEnd"/>
            <w:r w:rsidRPr="0079092C">
              <w:rPr>
                <w:i/>
                <w:sz w:val="14"/>
                <w:szCs w:val="14"/>
              </w:rPr>
              <w:t xml:space="preserve"> as long as the family continues to report that they have no income. After the first 3 months of the resident reporting zero income to the PHA, the PHA may obtain a credit screening report and/or require the family to complete IRS Form 4506T, to request a print out which summarizes the previous year’s tax returns.</w:t>
            </w:r>
          </w:p>
          <w:p w:rsidR="0079092C" w:rsidRPr="0079092C" w:rsidRDefault="0079092C" w:rsidP="0079092C">
            <w:pPr>
              <w:rPr>
                <w:b/>
                <w:sz w:val="14"/>
                <w:szCs w:val="14"/>
              </w:rPr>
            </w:pPr>
            <w:r w:rsidRPr="0079092C">
              <w:rPr>
                <w:b/>
                <w:sz w:val="14"/>
                <w:szCs w:val="14"/>
              </w:rPr>
              <w:t>Chapter 10-Pets 10-II.C. Standards for Pets-Number of Pets</w:t>
            </w:r>
          </w:p>
          <w:p w:rsidR="0079092C" w:rsidRPr="0079092C" w:rsidRDefault="0079092C" w:rsidP="0079092C">
            <w:pPr>
              <w:spacing w:before="120"/>
              <w:rPr>
                <w:i/>
                <w:sz w:val="14"/>
                <w:szCs w:val="14"/>
              </w:rPr>
            </w:pPr>
            <w:r w:rsidRPr="0079092C">
              <w:rPr>
                <w:i/>
                <w:sz w:val="14"/>
                <w:szCs w:val="14"/>
              </w:rPr>
              <w:t>Residents may own a maximum of 2 pets, only 1 of which may be a dog.</w:t>
            </w:r>
          </w:p>
          <w:p w:rsidR="0079092C" w:rsidRPr="0079092C" w:rsidRDefault="0079092C" w:rsidP="0079092C">
            <w:pPr>
              <w:spacing w:before="120"/>
              <w:rPr>
                <w:i/>
                <w:sz w:val="14"/>
                <w:szCs w:val="14"/>
              </w:rPr>
            </w:pPr>
            <w:r w:rsidRPr="0079092C">
              <w:rPr>
                <w:i/>
                <w:sz w:val="14"/>
                <w:szCs w:val="14"/>
              </w:rPr>
              <w:t>In the case of fish, residents may keep no more than can be maintained in a safe and healthy manner in a tank holding up to 10 gallons. Such a tank or aquarium will be counted as 1 pet.</w:t>
            </w:r>
          </w:p>
          <w:p w:rsidR="0079092C" w:rsidRPr="006B12F0" w:rsidRDefault="0079092C" w:rsidP="0079092C">
            <w:pPr>
              <w:spacing w:before="120"/>
              <w:rPr>
                <w:b/>
                <w:sz w:val="14"/>
                <w:szCs w:val="14"/>
              </w:rPr>
            </w:pPr>
            <w:r w:rsidRPr="0079092C">
              <w:rPr>
                <w:b/>
                <w:sz w:val="14"/>
                <w:szCs w:val="14"/>
              </w:rPr>
              <w:t>Chapter 12-Transfer Pol</w:t>
            </w:r>
            <w:r w:rsidR="006B12F0">
              <w:rPr>
                <w:b/>
                <w:sz w:val="14"/>
                <w:szCs w:val="14"/>
              </w:rPr>
              <w:t xml:space="preserve">icy-12-I.B. Emergency Transfers </w:t>
            </w:r>
            <w:r w:rsidRPr="0079092C">
              <w:rPr>
                <w:i/>
                <w:sz w:val="14"/>
                <w:szCs w:val="14"/>
              </w:rPr>
              <w:t>A verified incident of domestic violence, dating violence, sexual assault, or stalking. For instances of domestic violence, dating violence, sexual assault, or stalking, the threat may be established through documentation outlined in section 16-VII.D, or by any proof accepted by the PHA.</w:t>
            </w:r>
          </w:p>
          <w:p w:rsidR="0079092C" w:rsidRPr="0079092C" w:rsidRDefault="0079092C" w:rsidP="0079092C">
            <w:pPr>
              <w:spacing w:before="120"/>
              <w:rPr>
                <w:i/>
                <w:color w:val="000000"/>
                <w:sz w:val="14"/>
                <w:szCs w:val="14"/>
                <w:shd w:val="clear" w:color="auto" w:fill="FFFFFF"/>
              </w:rPr>
            </w:pPr>
            <w:r w:rsidRPr="0079092C">
              <w:rPr>
                <w:i/>
                <w:sz w:val="14"/>
                <w:szCs w:val="14"/>
              </w:rPr>
              <w:t xml:space="preserve">The PHA will immediately process requests for transfers due to domestic violence, dating violence, sexual assault, or stalking. The PHA will </w:t>
            </w:r>
            <w:r w:rsidRPr="0079092C">
              <w:rPr>
                <w:i/>
                <w:color w:val="000000"/>
                <w:sz w:val="14"/>
                <w:szCs w:val="14"/>
                <w:shd w:val="clear" w:color="auto" w:fill="FFFFFF"/>
              </w:rPr>
              <w:t>allow a tenant to make an internal emergency transfer under VAWA when a safe unit is immediately available. If an internal transfer to a safe unit is not immediately available, the PHA will assist the resident in seeking an external emergency transfer either within or outside the PHA’s programs.</w:t>
            </w:r>
          </w:p>
          <w:p w:rsidR="0079092C" w:rsidRPr="0079092C" w:rsidRDefault="0079092C" w:rsidP="0079092C">
            <w:pPr>
              <w:spacing w:before="120"/>
              <w:rPr>
                <w:i/>
                <w:color w:val="000000"/>
                <w:sz w:val="14"/>
                <w:szCs w:val="14"/>
              </w:rPr>
            </w:pPr>
            <w:r w:rsidRPr="0079092C">
              <w:rPr>
                <w:i/>
                <w:color w:val="000000"/>
                <w:sz w:val="14"/>
                <w:szCs w:val="14"/>
              </w:rPr>
              <w:t>The PHA has adopted an emergency transfer plan, which is included as Exhibit 16-3 to this plan.</w:t>
            </w:r>
          </w:p>
          <w:p w:rsidR="0079092C" w:rsidRPr="006B12F0" w:rsidRDefault="0079092C" w:rsidP="0079092C">
            <w:pPr>
              <w:spacing w:before="120"/>
              <w:rPr>
                <w:b/>
                <w:sz w:val="14"/>
                <w:szCs w:val="14"/>
              </w:rPr>
            </w:pPr>
            <w:r w:rsidRPr="0079092C">
              <w:rPr>
                <w:b/>
                <w:sz w:val="14"/>
                <w:szCs w:val="14"/>
              </w:rPr>
              <w:t>Chapter 12-Tran</w:t>
            </w:r>
            <w:r w:rsidR="006B12F0">
              <w:rPr>
                <w:b/>
                <w:sz w:val="14"/>
                <w:szCs w:val="14"/>
              </w:rPr>
              <w:t xml:space="preserve">sfer Policy-IV.B. Transfer List </w:t>
            </w:r>
            <w:r w:rsidRPr="0079092C">
              <w:rPr>
                <w:i/>
                <w:sz w:val="14"/>
                <w:szCs w:val="14"/>
              </w:rPr>
              <w:t xml:space="preserve">With the approval of the executive director, the PHA may, on a case-by-case basis, transfer a family without regard to its placement on the transfer list </w:t>
            </w:r>
            <w:proofErr w:type="gramStart"/>
            <w:r w:rsidRPr="0079092C">
              <w:rPr>
                <w:i/>
                <w:sz w:val="14"/>
                <w:szCs w:val="14"/>
              </w:rPr>
              <w:t>in order to</w:t>
            </w:r>
            <w:proofErr w:type="gramEnd"/>
            <w:r w:rsidRPr="0079092C">
              <w:rPr>
                <w:i/>
                <w:sz w:val="14"/>
                <w:szCs w:val="14"/>
              </w:rPr>
              <w:t xml:space="preserve"> address the immediate need of a family in crisis.</w:t>
            </w:r>
            <w:r w:rsidR="006B12F0">
              <w:rPr>
                <w:b/>
                <w:sz w:val="14"/>
                <w:szCs w:val="14"/>
              </w:rPr>
              <w:t xml:space="preserve"> </w:t>
            </w:r>
            <w:r w:rsidRPr="0079092C">
              <w:rPr>
                <w:i/>
                <w:sz w:val="14"/>
                <w:szCs w:val="14"/>
              </w:rPr>
              <w:t>Transfers will take precedence over waiting list admissions.</w:t>
            </w:r>
          </w:p>
          <w:p w:rsidR="0079092C" w:rsidRPr="0079092C" w:rsidRDefault="0079092C" w:rsidP="0079092C">
            <w:pPr>
              <w:spacing w:before="120"/>
              <w:rPr>
                <w:b/>
                <w:sz w:val="14"/>
                <w:szCs w:val="14"/>
              </w:rPr>
            </w:pPr>
            <w:r w:rsidRPr="0079092C">
              <w:rPr>
                <w:b/>
                <w:sz w:val="14"/>
                <w:szCs w:val="14"/>
              </w:rPr>
              <w:t xml:space="preserve">Chapter 14-Grievances-14-I.B. Informal Hearing Process [24 CFR 960.208(a) and PH </w:t>
            </w:r>
            <w:proofErr w:type="spellStart"/>
            <w:r w:rsidRPr="0079092C">
              <w:rPr>
                <w:b/>
                <w:sz w:val="14"/>
                <w:szCs w:val="14"/>
              </w:rPr>
              <w:t>Occ</w:t>
            </w:r>
            <w:proofErr w:type="spellEnd"/>
            <w:r w:rsidRPr="0079092C">
              <w:rPr>
                <w:b/>
                <w:sz w:val="14"/>
                <w:szCs w:val="14"/>
              </w:rPr>
              <w:t xml:space="preserve"> GB, p. 58]-Conducting an Informal Hearing [PH </w:t>
            </w:r>
            <w:proofErr w:type="spellStart"/>
            <w:r w:rsidRPr="0079092C">
              <w:rPr>
                <w:b/>
                <w:sz w:val="14"/>
                <w:szCs w:val="14"/>
              </w:rPr>
              <w:t>Occ</w:t>
            </w:r>
            <w:proofErr w:type="spellEnd"/>
            <w:r w:rsidRPr="0079092C">
              <w:rPr>
                <w:b/>
                <w:sz w:val="14"/>
                <w:szCs w:val="14"/>
              </w:rPr>
              <w:t xml:space="preserve"> GB, p. 58]</w:t>
            </w:r>
          </w:p>
          <w:p w:rsidR="0079092C" w:rsidRPr="0079092C" w:rsidRDefault="0079092C" w:rsidP="0079092C">
            <w:pPr>
              <w:rPr>
                <w:i/>
                <w:sz w:val="14"/>
                <w:szCs w:val="14"/>
              </w:rPr>
            </w:pPr>
            <w:r w:rsidRPr="0079092C">
              <w:rPr>
                <w:i/>
                <w:sz w:val="14"/>
                <w:szCs w:val="14"/>
              </w:rPr>
              <w:t>The informal hearing will be conducted by a person other than the one who made or approved the decision under review, or a subordinate of this person.</w:t>
            </w:r>
          </w:p>
          <w:p w:rsidR="0079092C" w:rsidRPr="006B12F0" w:rsidRDefault="0079092C" w:rsidP="006B12F0">
            <w:pPr>
              <w:spacing w:before="120"/>
              <w:rPr>
                <w:b/>
                <w:sz w:val="14"/>
                <w:szCs w:val="14"/>
              </w:rPr>
            </w:pPr>
            <w:r w:rsidRPr="0079092C">
              <w:rPr>
                <w:b/>
                <w:sz w:val="14"/>
                <w:szCs w:val="14"/>
              </w:rPr>
              <w:t>Chapter 16-Program Adminis</w:t>
            </w:r>
            <w:r w:rsidR="006B12F0">
              <w:rPr>
                <w:b/>
                <w:sz w:val="14"/>
                <w:szCs w:val="14"/>
              </w:rPr>
              <w:t xml:space="preserve">tration-16-III.A. Overview </w:t>
            </w:r>
            <w:r w:rsidRPr="0079092C">
              <w:rPr>
                <w:i/>
                <w:sz w:val="14"/>
                <w:szCs w:val="14"/>
              </w:rPr>
              <w:t>When a family refuses to repay monies owed to the PHA, the PHA will utilize other available collection alternatives including, but not limited to, the following:</w:t>
            </w:r>
          </w:p>
          <w:p w:rsidR="0079092C" w:rsidRPr="0079092C" w:rsidRDefault="0079092C" w:rsidP="0079092C">
            <w:pPr>
              <w:ind w:left="720"/>
              <w:rPr>
                <w:i/>
                <w:sz w:val="14"/>
                <w:szCs w:val="14"/>
              </w:rPr>
            </w:pPr>
            <w:r w:rsidRPr="0079092C">
              <w:rPr>
                <w:i/>
                <w:sz w:val="14"/>
                <w:szCs w:val="14"/>
              </w:rPr>
              <w:t xml:space="preserve">Notification of other subsidized housing </w:t>
            </w:r>
            <w:proofErr w:type="gramStart"/>
            <w:r w:rsidRPr="0079092C">
              <w:rPr>
                <w:i/>
                <w:sz w:val="14"/>
                <w:szCs w:val="14"/>
              </w:rPr>
              <w:t>in the area of</w:t>
            </w:r>
            <w:proofErr w:type="gramEnd"/>
            <w:r w:rsidRPr="0079092C">
              <w:rPr>
                <w:i/>
                <w:sz w:val="14"/>
                <w:szCs w:val="14"/>
              </w:rPr>
              <w:t xml:space="preserve"> balance owed</w:t>
            </w:r>
          </w:p>
          <w:p w:rsidR="0079092C" w:rsidRPr="0079092C" w:rsidRDefault="0079092C" w:rsidP="0079092C">
            <w:pPr>
              <w:ind w:left="720"/>
              <w:rPr>
                <w:i/>
                <w:sz w:val="14"/>
                <w:szCs w:val="14"/>
              </w:rPr>
            </w:pPr>
            <w:r w:rsidRPr="0079092C">
              <w:rPr>
                <w:i/>
                <w:sz w:val="14"/>
                <w:szCs w:val="14"/>
              </w:rPr>
              <w:t>EIV –Debt Owed to Public Housing Agencies and Termination</w:t>
            </w:r>
          </w:p>
          <w:p w:rsidR="00A30485" w:rsidRPr="0079092C" w:rsidRDefault="006B12F0" w:rsidP="0079092C">
            <w:pPr>
              <w:rPr>
                <w:b/>
                <w:bCs/>
                <w:sz w:val="14"/>
                <w:szCs w:val="14"/>
              </w:rPr>
            </w:pPr>
            <w:r>
              <w:rPr>
                <w:i/>
                <w:sz w:val="14"/>
                <w:szCs w:val="14"/>
              </w:rPr>
              <w:t xml:space="preserve">                     </w:t>
            </w:r>
            <w:r w:rsidR="0079092C" w:rsidRPr="0079092C">
              <w:rPr>
                <w:i/>
                <w:sz w:val="14"/>
                <w:szCs w:val="14"/>
              </w:rPr>
              <w:t>Kentucky debt off-set program</w:t>
            </w:r>
          </w:p>
        </w:tc>
      </w:tr>
      <w:tr w:rsidR="00D415C8" w:rsidTr="00A9684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D415C8" w:rsidRDefault="00D415C8" w:rsidP="00D415C8">
            <w:pPr>
              <w:jc w:val="center"/>
              <w:rPr>
                <w:b/>
                <w:bCs/>
                <w:sz w:val="16"/>
                <w:szCs w:val="16"/>
              </w:rPr>
            </w:pPr>
          </w:p>
          <w:p w:rsidR="00D415C8" w:rsidRPr="00C938EB" w:rsidRDefault="00D415C8" w:rsidP="00D415C8">
            <w:pPr>
              <w:jc w:val="center"/>
              <w:rPr>
                <w:b/>
                <w:bCs/>
                <w:sz w:val="16"/>
                <w:szCs w:val="16"/>
              </w:rPr>
            </w:pPr>
            <w:r>
              <w:rPr>
                <w:b/>
                <w:bCs/>
                <w:sz w:val="16"/>
                <w:szCs w:val="16"/>
              </w:rPr>
              <w:t>B.2</w:t>
            </w:r>
          </w:p>
          <w:p w:rsidR="00D415C8" w:rsidRPr="00C938EB" w:rsidRDefault="00D415C8" w:rsidP="00D415C8">
            <w:pPr>
              <w:jc w:val="center"/>
              <w:rPr>
                <w:b/>
                <w:bCs/>
                <w:sz w:val="16"/>
                <w:szCs w:val="16"/>
              </w:rPr>
            </w:pPr>
          </w:p>
          <w:p w:rsidR="00D415C8" w:rsidRDefault="00D415C8" w:rsidP="00D415C8">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822AF3" w:rsidRDefault="00822AF3" w:rsidP="001F04B2">
            <w:pPr>
              <w:rPr>
                <w:b/>
                <w:bCs/>
                <w:sz w:val="16"/>
                <w:szCs w:val="16"/>
              </w:rPr>
            </w:pPr>
          </w:p>
          <w:p w:rsidR="001F04B2" w:rsidRDefault="001F04B2" w:rsidP="001F04B2">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rsidR="001F04B2" w:rsidRDefault="001F04B2" w:rsidP="001F04B2">
            <w:pPr>
              <w:rPr>
                <w:bCs/>
                <w:i/>
                <w:sz w:val="16"/>
                <w:szCs w:val="16"/>
              </w:rPr>
            </w:pPr>
          </w:p>
          <w:p w:rsidR="001F04B2" w:rsidRDefault="001F04B2" w:rsidP="001F04B2">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rsidR="001F04B2" w:rsidRDefault="001F04B2" w:rsidP="001F04B2">
            <w:pPr>
              <w:rPr>
                <w:bCs/>
                <w:i/>
                <w:sz w:val="16"/>
                <w:szCs w:val="16"/>
              </w:rPr>
            </w:pPr>
          </w:p>
          <w:p w:rsidR="001F04B2" w:rsidRPr="005518DE" w:rsidRDefault="001F04B2" w:rsidP="001F04B2">
            <w:pPr>
              <w:rPr>
                <w:bCs/>
                <w:sz w:val="16"/>
                <w:szCs w:val="16"/>
              </w:rPr>
            </w:pPr>
            <w:r>
              <w:rPr>
                <w:bCs/>
                <w:sz w:val="16"/>
                <w:szCs w:val="16"/>
              </w:rPr>
              <w:t xml:space="preserve"> Y    N   </w:t>
            </w:r>
          </w:p>
          <w:p w:rsidR="001F04B2" w:rsidRPr="005518DE" w:rsidRDefault="002D49BB" w:rsidP="001F04B2">
            <w:pPr>
              <w:rPr>
                <w:bCs/>
                <w:sz w:val="16"/>
                <w:szCs w:val="16"/>
              </w:rPr>
            </w:pP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CD3E80">
              <w:rPr>
                <w:smallCaps/>
                <w:sz w:val="16"/>
                <w:szCs w:val="16"/>
              </w:rPr>
            </w:r>
            <w:r w:rsidR="00CD3E80">
              <w:rPr>
                <w:smallCaps/>
                <w:sz w:val="16"/>
                <w:szCs w:val="16"/>
              </w:rPr>
              <w:fldChar w:fldCharType="separate"/>
            </w:r>
            <w:r w:rsidRPr="00445D7F">
              <w:rPr>
                <w:smallCaps/>
                <w:sz w:val="16"/>
                <w:szCs w:val="16"/>
              </w:rPr>
              <w:fldChar w:fldCharType="end"/>
            </w:r>
            <w:r w:rsidR="001F04B2">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1F04B2">
              <w:rPr>
                <w:smallCaps/>
                <w:sz w:val="16"/>
                <w:szCs w:val="16"/>
              </w:rPr>
              <w:t xml:space="preserve">  </w:t>
            </w:r>
            <w:r w:rsidR="001F04B2" w:rsidRPr="005518DE">
              <w:rPr>
                <w:bCs/>
                <w:sz w:val="16"/>
                <w:szCs w:val="16"/>
              </w:rPr>
              <w:t>Hope VI</w:t>
            </w:r>
            <w:r w:rsidR="0015270F">
              <w:rPr>
                <w:bCs/>
                <w:sz w:val="16"/>
                <w:szCs w:val="16"/>
              </w:rPr>
              <w:t xml:space="preserve"> or Choice Neighborhoods</w:t>
            </w:r>
            <w:r w:rsidR="001F04B2">
              <w:rPr>
                <w:bCs/>
                <w:sz w:val="16"/>
                <w:szCs w:val="16"/>
              </w:rPr>
              <w:t xml:space="preserve">.  </w:t>
            </w:r>
          </w:p>
          <w:p w:rsidR="001F04B2" w:rsidRDefault="002D49BB"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CD3E80">
              <w:rPr>
                <w:smallCaps/>
                <w:sz w:val="16"/>
                <w:szCs w:val="16"/>
              </w:rPr>
            </w:r>
            <w:r w:rsidR="00CD3E80">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1F04B2" w:rsidRPr="005518DE">
              <w:rPr>
                <w:smallCaps/>
                <w:sz w:val="16"/>
                <w:szCs w:val="16"/>
              </w:rPr>
              <w:t xml:space="preserve">  </w:t>
            </w:r>
            <w:r w:rsidR="001F04B2" w:rsidRPr="005518DE">
              <w:rPr>
                <w:bCs/>
                <w:sz w:val="16"/>
                <w:szCs w:val="16"/>
              </w:rPr>
              <w:t>Mixed Finance Modernization or Development</w:t>
            </w:r>
            <w:r w:rsidR="001F04B2">
              <w:rPr>
                <w:bCs/>
                <w:sz w:val="16"/>
                <w:szCs w:val="16"/>
              </w:rPr>
              <w:t xml:space="preserve">.  </w:t>
            </w:r>
          </w:p>
          <w:p w:rsidR="001F04B2" w:rsidRDefault="002D49BB"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CD3E80">
              <w:rPr>
                <w:smallCaps/>
                <w:sz w:val="16"/>
                <w:szCs w:val="16"/>
              </w:rPr>
            </w:r>
            <w:r w:rsidR="00CD3E80">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1F04B2" w:rsidRPr="005518DE">
              <w:rPr>
                <w:smallCaps/>
                <w:sz w:val="16"/>
                <w:szCs w:val="16"/>
              </w:rPr>
              <w:t xml:space="preserve">  </w:t>
            </w:r>
            <w:r w:rsidR="001F04B2">
              <w:rPr>
                <w:bCs/>
                <w:sz w:val="16"/>
                <w:szCs w:val="16"/>
              </w:rPr>
              <w:t>D</w:t>
            </w:r>
            <w:r w:rsidR="001F04B2" w:rsidRPr="005518DE">
              <w:rPr>
                <w:bCs/>
                <w:sz w:val="16"/>
                <w:szCs w:val="16"/>
              </w:rPr>
              <w:t>emolition and/or Disposition</w:t>
            </w:r>
            <w:r w:rsidR="001F04B2">
              <w:rPr>
                <w:bCs/>
                <w:sz w:val="16"/>
                <w:szCs w:val="16"/>
              </w:rPr>
              <w:t xml:space="preserve">.  </w:t>
            </w:r>
          </w:p>
          <w:p w:rsidR="008D0668" w:rsidRDefault="002D49BB"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CD3E80">
              <w:rPr>
                <w:smallCaps/>
                <w:sz w:val="16"/>
                <w:szCs w:val="16"/>
              </w:rPr>
            </w:r>
            <w:r w:rsidR="00CD3E80">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1F04B2" w:rsidRPr="005518DE">
              <w:rPr>
                <w:smallCaps/>
                <w:sz w:val="16"/>
                <w:szCs w:val="16"/>
              </w:rPr>
              <w:t xml:space="preserve">  </w:t>
            </w:r>
            <w:r w:rsidR="001F04B2">
              <w:rPr>
                <w:bCs/>
                <w:sz w:val="16"/>
                <w:szCs w:val="16"/>
              </w:rPr>
              <w:t xml:space="preserve">Conversion of Public Housing to Tenant Based Assistance. </w:t>
            </w:r>
          </w:p>
          <w:p w:rsidR="001F04B2" w:rsidRDefault="002D49BB"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8D0668" w:rsidRPr="005518DE">
              <w:rPr>
                <w:smallCaps/>
                <w:sz w:val="16"/>
                <w:szCs w:val="16"/>
              </w:rPr>
              <w:instrText xml:space="preserve"> FORMCHECKBOX </w:instrText>
            </w:r>
            <w:r w:rsidR="00CD3E80">
              <w:rPr>
                <w:smallCaps/>
                <w:sz w:val="16"/>
                <w:szCs w:val="16"/>
              </w:rPr>
            </w:r>
            <w:r w:rsidR="00CD3E80">
              <w:rPr>
                <w:smallCaps/>
                <w:sz w:val="16"/>
                <w:szCs w:val="16"/>
              </w:rPr>
              <w:fldChar w:fldCharType="separate"/>
            </w:r>
            <w:r w:rsidRPr="005518DE">
              <w:rPr>
                <w:smallCaps/>
                <w:sz w:val="16"/>
                <w:szCs w:val="16"/>
              </w:rPr>
              <w:fldChar w:fldCharType="end"/>
            </w:r>
            <w:r w:rsidR="008D0668"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8D0668" w:rsidRPr="005518DE">
              <w:rPr>
                <w:smallCaps/>
                <w:sz w:val="16"/>
                <w:szCs w:val="16"/>
              </w:rPr>
              <w:t xml:space="preserve"> </w:t>
            </w:r>
            <w:r w:rsidR="008D0668">
              <w:rPr>
                <w:smallCaps/>
                <w:sz w:val="16"/>
                <w:szCs w:val="16"/>
              </w:rPr>
              <w:t xml:space="preserve"> </w:t>
            </w:r>
            <w:r w:rsidR="008D0668" w:rsidRPr="005518DE">
              <w:rPr>
                <w:bCs/>
                <w:sz w:val="16"/>
                <w:szCs w:val="16"/>
              </w:rPr>
              <w:t>Conversion of Public Housing</w:t>
            </w:r>
            <w:r w:rsidR="008D0668">
              <w:rPr>
                <w:bCs/>
                <w:sz w:val="16"/>
                <w:szCs w:val="16"/>
              </w:rPr>
              <w:t xml:space="preserve"> to Project-Based Assistance under RAD.</w:t>
            </w:r>
            <w:r w:rsidR="001F04B2">
              <w:rPr>
                <w:bCs/>
                <w:sz w:val="16"/>
                <w:szCs w:val="16"/>
              </w:rPr>
              <w:t xml:space="preserve"> </w:t>
            </w:r>
          </w:p>
          <w:p w:rsidR="0015270F" w:rsidRDefault="002D49BB"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CD3E80">
              <w:rPr>
                <w:smallCaps/>
                <w:sz w:val="16"/>
                <w:szCs w:val="16"/>
              </w:rPr>
            </w:r>
            <w:r w:rsidR="00CD3E80">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1F04B2" w:rsidRPr="005518DE">
              <w:rPr>
                <w:smallCaps/>
                <w:sz w:val="16"/>
                <w:szCs w:val="16"/>
              </w:rPr>
              <w:t xml:space="preserve">  </w:t>
            </w:r>
            <w:r w:rsidR="001F04B2">
              <w:rPr>
                <w:bCs/>
                <w:sz w:val="16"/>
                <w:szCs w:val="16"/>
              </w:rPr>
              <w:t>Project Based Vouchers.</w:t>
            </w:r>
          </w:p>
          <w:p w:rsidR="00510233" w:rsidRDefault="002D49BB" w:rsidP="00510233">
            <w:pPr>
              <w:rPr>
                <w:bCs/>
                <w:sz w:val="16"/>
                <w:szCs w:val="16"/>
              </w:rPr>
            </w:pPr>
            <w:r w:rsidRPr="005518DE">
              <w:rPr>
                <w:smallCaps/>
                <w:sz w:val="16"/>
                <w:szCs w:val="16"/>
              </w:rPr>
              <w:fldChar w:fldCharType="begin">
                <w:ffData>
                  <w:name w:val="Check1"/>
                  <w:enabled/>
                  <w:calcOnExit w:val="0"/>
                  <w:checkBox>
                    <w:sizeAuto/>
                    <w:default w:val="0"/>
                  </w:checkBox>
                </w:ffData>
              </w:fldChar>
            </w:r>
            <w:r w:rsidR="00510233" w:rsidRPr="005518DE">
              <w:rPr>
                <w:smallCaps/>
                <w:sz w:val="16"/>
                <w:szCs w:val="16"/>
              </w:rPr>
              <w:instrText xml:space="preserve"> FORMCHECKBOX </w:instrText>
            </w:r>
            <w:r w:rsidR="00CD3E80">
              <w:rPr>
                <w:smallCaps/>
                <w:sz w:val="16"/>
                <w:szCs w:val="16"/>
              </w:rPr>
            </w:r>
            <w:r w:rsidR="00CD3E80">
              <w:rPr>
                <w:smallCaps/>
                <w:sz w:val="16"/>
                <w:szCs w:val="16"/>
              </w:rPr>
              <w:fldChar w:fldCharType="separate"/>
            </w:r>
            <w:r w:rsidRPr="005518DE">
              <w:rPr>
                <w:smallCaps/>
                <w:sz w:val="16"/>
                <w:szCs w:val="16"/>
              </w:rPr>
              <w:fldChar w:fldCharType="end"/>
            </w:r>
            <w:r w:rsidR="00510233"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510233" w:rsidRPr="005518DE">
              <w:rPr>
                <w:smallCaps/>
                <w:sz w:val="16"/>
                <w:szCs w:val="16"/>
              </w:rPr>
              <w:t xml:space="preserve">  </w:t>
            </w:r>
            <w:r w:rsidR="00510233">
              <w:rPr>
                <w:bCs/>
                <w:sz w:val="16"/>
                <w:szCs w:val="16"/>
              </w:rPr>
              <w:t>Units with Approved Vacancies for Modernization.</w:t>
            </w:r>
          </w:p>
          <w:p w:rsidR="0015270F" w:rsidRDefault="002D49BB" w:rsidP="0015270F">
            <w:pPr>
              <w:rPr>
                <w:bCs/>
                <w:sz w:val="16"/>
                <w:szCs w:val="16"/>
              </w:rPr>
            </w:pPr>
            <w:r>
              <w:rPr>
                <w:smallCaps/>
                <w:sz w:val="16"/>
                <w:szCs w:val="16"/>
              </w:rPr>
              <w:fldChar w:fldCharType="begin">
                <w:ffData>
                  <w:name w:val=""/>
                  <w:enabled/>
                  <w:calcOnExit w:val="0"/>
                  <w:checkBox>
                    <w:sizeAuto/>
                    <w:default w:val="0"/>
                  </w:checkBox>
                </w:ffData>
              </w:fldChar>
            </w:r>
            <w:r w:rsidR="00B8065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15270F"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sidR="00A30485">
              <w:rPr>
                <w:smallCaps/>
                <w:sz w:val="16"/>
                <w:szCs w:val="16"/>
              </w:rPr>
              <w:instrText xml:space="preserve"> FORMCHECKBOX </w:instrText>
            </w:r>
            <w:r w:rsidR="00CD3E80">
              <w:rPr>
                <w:smallCaps/>
                <w:sz w:val="16"/>
                <w:szCs w:val="16"/>
              </w:rPr>
            </w:r>
            <w:r w:rsidR="00CD3E80">
              <w:rPr>
                <w:smallCaps/>
                <w:sz w:val="16"/>
                <w:szCs w:val="16"/>
              </w:rPr>
              <w:fldChar w:fldCharType="separate"/>
            </w:r>
            <w:r>
              <w:rPr>
                <w:smallCaps/>
                <w:sz w:val="16"/>
                <w:szCs w:val="16"/>
              </w:rPr>
              <w:fldChar w:fldCharType="end"/>
            </w:r>
            <w:r w:rsidR="0015270F" w:rsidRPr="005518DE">
              <w:rPr>
                <w:smallCaps/>
                <w:sz w:val="16"/>
                <w:szCs w:val="16"/>
              </w:rPr>
              <w:t xml:space="preserve">  </w:t>
            </w:r>
            <w:r w:rsidR="0015270F">
              <w:rPr>
                <w:bCs/>
                <w:sz w:val="16"/>
                <w:szCs w:val="16"/>
              </w:rPr>
              <w:t>Other Capital Grant Programs (i.e., Capital Fund Community Facilities Grants or Emergency Safety and Security Grants).</w:t>
            </w:r>
          </w:p>
          <w:p w:rsidR="001F04B2" w:rsidRDefault="00822AF3" w:rsidP="001F04B2">
            <w:pPr>
              <w:rPr>
                <w:b/>
                <w:bCs/>
                <w:sz w:val="16"/>
                <w:szCs w:val="16"/>
              </w:rPr>
            </w:pPr>
            <w:r>
              <w:rPr>
                <w:b/>
                <w:bCs/>
                <w:sz w:val="16"/>
                <w:szCs w:val="16"/>
              </w:rPr>
              <w:t xml:space="preserve"> </w:t>
            </w:r>
          </w:p>
          <w:p w:rsidR="001F04B2" w:rsidRDefault="001F04B2" w:rsidP="001F04B2">
            <w:pPr>
              <w:rPr>
                <w:bCs/>
                <w:sz w:val="16"/>
                <w:szCs w:val="16"/>
              </w:rPr>
            </w:pPr>
            <w:r w:rsidRPr="005518DE">
              <w:rPr>
                <w:bCs/>
                <w:sz w:val="16"/>
                <w:szCs w:val="16"/>
              </w:rPr>
              <w:t>(b) If</w:t>
            </w:r>
            <w:r>
              <w:rPr>
                <w:bCs/>
                <w:sz w:val="16"/>
                <w:szCs w:val="16"/>
              </w:rPr>
              <w:t xml:space="preserve"> any of these activities are planned for the current Fiscal Year, describe the activities</w:t>
            </w:r>
            <w:r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Pr>
                <w:bCs/>
                <w:sz w:val="16"/>
                <w:szCs w:val="16"/>
              </w:rPr>
              <w:t xml:space="preserve"> </w:t>
            </w:r>
            <w:r>
              <w:rPr>
                <w:bCs/>
                <w:sz w:val="16"/>
                <w:szCs w:val="16"/>
              </w:rPr>
              <w:t>If using Project-Based Vouchers (PBVs), provide the projected number of project based units and general locations, and describe how project basing would be consistent with the PHA Plan.</w:t>
            </w:r>
          </w:p>
          <w:p w:rsidR="00D415C8" w:rsidRDefault="00D415C8" w:rsidP="0090193C">
            <w:pPr>
              <w:rPr>
                <w:b/>
                <w:bCs/>
                <w:sz w:val="16"/>
                <w:szCs w:val="16"/>
              </w:rPr>
            </w:pPr>
          </w:p>
        </w:tc>
      </w:tr>
      <w:tr w:rsidR="00837A39" w:rsidTr="00B80655">
        <w:trPr>
          <w:gridAfter w:val="1"/>
          <w:wAfter w:w="9720" w:type="dxa"/>
          <w:cantSplit/>
          <w:trHeight w:val="13937"/>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rPr>
                <w:b/>
                <w:sz w:val="16"/>
                <w:szCs w:val="16"/>
              </w:rPr>
            </w:pPr>
          </w:p>
          <w:p w:rsidR="00837A39" w:rsidRDefault="00837A39" w:rsidP="00837A39">
            <w:pPr>
              <w:jc w:val="center"/>
              <w:rPr>
                <w:b/>
                <w:bCs/>
                <w:sz w:val="16"/>
                <w:szCs w:val="16"/>
              </w:rPr>
            </w:pPr>
            <w:r>
              <w:rPr>
                <w:b/>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rsidR="00837A39" w:rsidRDefault="00837A39" w:rsidP="00837A39">
            <w:pPr>
              <w:tabs>
                <w:tab w:val="left" w:pos="409"/>
                <w:tab w:val="left" w:pos="522"/>
              </w:tabs>
              <w:rPr>
                <w:b/>
                <w:bCs/>
                <w:sz w:val="16"/>
                <w:szCs w:val="16"/>
              </w:rPr>
            </w:pPr>
          </w:p>
          <w:p w:rsidR="00837A39" w:rsidRPr="00C77A5D" w:rsidRDefault="00837A39" w:rsidP="00837A39">
            <w:pPr>
              <w:tabs>
                <w:tab w:val="left" w:pos="409"/>
                <w:tab w:val="left" w:pos="522"/>
              </w:tabs>
              <w:rPr>
                <w:sz w:val="16"/>
                <w:szCs w:val="16"/>
              </w:rPr>
            </w:pPr>
            <w:r w:rsidRPr="00C77A5D">
              <w:rPr>
                <w:b/>
                <w:bCs/>
                <w:sz w:val="16"/>
                <w:szCs w:val="16"/>
              </w:rPr>
              <w:t>Progress Report.</w:t>
            </w:r>
            <w:r w:rsidRPr="00C77A5D">
              <w:rPr>
                <w:bCs/>
                <w:sz w:val="16"/>
                <w:szCs w:val="16"/>
              </w:rPr>
              <w:t xml:space="preserve"> </w:t>
            </w:r>
          </w:p>
          <w:p w:rsidR="00837A39" w:rsidRPr="00C77A5D" w:rsidRDefault="00837A39" w:rsidP="00837A39">
            <w:pPr>
              <w:rPr>
                <w:sz w:val="16"/>
                <w:szCs w:val="16"/>
              </w:rPr>
            </w:pPr>
          </w:p>
          <w:p w:rsidR="00B81BF4" w:rsidRDefault="00837A39" w:rsidP="00B81BF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w:t>
            </w:r>
            <w:r w:rsidRPr="00C77A5D">
              <w:rPr>
                <w:sz w:val="16"/>
                <w:szCs w:val="16"/>
              </w:rPr>
              <w:t>Plan.</w:t>
            </w:r>
          </w:p>
          <w:p w:rsidR="00B81BF4" w:rsidRPr="00FE77BB" w:rsidRDefault="00B81BF4" w:rsidP="00B81BF4">
            <w:pPr>
              <w:rPr>
                <w:b/>
                <w:sz w:val="16"/>
              </w:rPr>
            </w:pPr>
          </w:p>
          <w:tbl>
            <w:tblPr>
              <w:tblW w:w="9550" w:type="dxa"/>
              <w:tblInd w:w="105" w:type="dxa"/>
              <w:tblLayout w:type="fixed"/>
              <w:tblCellMar>
                <w:left w:w="105" w:type="dxa"/>
                <w:right w:w="105" w:type="dxa"/>
              </w:tblCellMar>
              <w:tblLook w:val="0000" w:firstRow="0" w:lastRow="0" w:firstColumn="0" w:lastColumn="0" w:noHBand="0" w:noVBand="0"/>
            </w:tblPr>
            <w:tblGrid>
              <w:gridCol w:w="4761"/>
              <w:gridCol w:w="13"/>
              <w:gridCol w:w="4748"/>
              <w:gridCol w:w="28"/>
            </w:tblGrid>
            <w:tr w:rsidR="00933510" w:rsidRPr="0050509F" w:rsidTr="0050509F">
              <w:trPr>
                <w:gridAfter w:val="1"/>
                <w:wAfter w:w="28" w:type="dxa"/>
                <w:trHeight w:val="765"/>
                <w:tblHeader/>
              </w:trPr>
              <w:tc>
                <w:tcPr>
                  <w:tcW w:w="4761" w:type="dxa"/>
                  <w:tcBorders>
                    <w:top w:val="single" w:sz="6" w:space="0" w:color="000000"/>
                    <w:left w:val="single" w:sz="6" w:space="0" w:color="000000"/>
                    <w:bottom w:val="single" w:sz="6" w:space="0" w:color="FFFFFF"/>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Streamline office procedures through migration of current </w:t>
                  </w:r>
                  <w:proofErr w:type="spellStart"/>
                  <w:r w:rsidRPr="0050509F">
                    <w:rPr>
                      <w:sz w:val="18"/>
                      <w:szCs w:val="18"/>
                    </w:rPr>
                    <w:t>TenMast</w:t>
                  </w:r>
                  <w:proofErr w:type="spellEnd"/>
                  <w:r w:rsidRPr="0050509F">
                    <w:rPr>
                      <w:sz w:val="18"/>
                      <w:szCs w:val="18"/>
                    </w:rPr>
                    <w:t xml:space="preserve"> software from </w:t>
                  </w:r>
                  <w:proofErr w:type="spellStart"/>
                  <w:r w:rsidRPr="0050509F">
                    <w:rPr>
                      <w:sz w:val="18"/>
                      <w:szCs w:val="18"/>
                    </w:rPr>
                    <w:t>WinTen</w:t>
                  </w:r>
                  <w:proofErr w:type="spellEnd"/>
                  <w:r w:rsidRPr="0050509F">
                    <w:rPr>
                      <w:sz w:val="18"/>
                      <w:szCs w:val="18"/>
                    </w:rPr>
                    <w:t xml:space="preserve"> to </w:t>
                  </w:r>
                  <w:proofErr w:type="spellStart"/>
                  <w:r w:rsidRPr="0050509F">
                    <w:rPr>
                      <w:sz w:val="18"/>
                      <w:szCs w:val="18"/>
                    </w:rPr>
                    <w:t>WinTen</w:t>
                  </w:r>
                  <w:proofErr w:type="spellEnd"/>
                  <w:r w:rsidRPr="0050509F">
                    <w:rPr>
                      <w:sz w:val="18"/>
                      <w:szCs w:val="18"/>
                    </w:rPr>
                    <w:t xml:space="preserve"> 2+ by December 2015</w:t>
                  </w:r>
                </w:p>
              </w:tc>
              <w:tc>
                <w:tcPr>
                  <w:tcW w:w="4761" w:type="dxa"/>
                  <w:gridSpan w:val="2"/>
                  <w:tcBorders>
                    <w:top w:val="single" w:sz="6" w:space="0" w:color="000000"/>
                    <w:left w:val="single" w:sz="6" w:space="0" w:color="000000"/>
                    <w:bottom w:val="single" w:sz="6" w:space="0" w:color="FFFFFF"/>
                    <w:right w:val="single" w:sz="6" w:space="0" w:color="000000"/>
                  </w:tcBorders>
                </w:tcPr>
                <w:p w:rsidR="00933510" w:rsidRPr="0050509F" w:rsidRDefault="006B12F0" w:rsidP="00B22218">
                  <w:pPr>
                    <w:framePr w:hSpace="180" w:wrap="around" w:vAnchor="text" w:hAnchor="text" w:y="1"/>
                    <w:suppressOverlap/>
                    <w:rPr>
                      <w:sz w:val="18"/>
                      <w:szCs w:val="18"/>
                    </w:rPr>
                  </w:pPr>
                  <w:r w:rsidRPr="0050509F">
                    <w:rPr>
                      <w:sz w:val="18"/>
                      <w:szCs w:val="18"/>
                    </w:rPr>
                    <w:t xml:space="preserve">In the process of sending out an RFP for new software provider. </w:t>
                  </w:r>
                  <w:proofErr w:type="spellStart"/>
                  <w:r w:rsidRPr="0050509F">
                    <w:rPr>
                      <w:sz w:val="18"/>
                      <w:szCs w:val="18"/>
                    </w:rPr>
                    <w:t>TenMast</w:t>
                  </w:r>
                  <w:proofErr w:type="spellEnd"/>
                  <w:r w:rsidRPr="0050509F">
                    <w:rPr>
                      <w:sz w:val="18"/>
                      <w:szCs w:val="18"/>
                    </w:rPr>
                    <w:t xml:space="preserve"> software is not cost effective and unable to streamline office procedures effectively and efficiently.</w:t>
                  </w:r>
                </w:p>
              </w:tc>
            </w:tr>
            <w:tr w:rsidR="00933510" w:rsidRPr="0050509F" w:rsidTr="0050509F">
              <w:trPr>
                <w:gridAfter w:val="1"/>
                <w:wAfter w:w="28" w:type="dxa"/>
                <w:trHeight w:val="801"/>
              </w:trPr>
              <w:tc>
                <w:tcPr>
                  <w:tcW w:w="4761" w:type="dxa"/>
                  <w:tcBorders>
                    <w:top w:val="single" w:sz="6" w:space="0" w:color="000000"/>
                    <w:left w:val="single" w:sz="6" w:space="0" w:color="000000"/>
                    <w:bottom w:val="single" w:sz="6" w:space="0" w:color="FFFFFF"/>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Lower ordinary operating expenses and increase rental revenues by 1% each year</w:t>
                  </w:r>
                </w:p>
              </w:tc>
              <w:tc>
                <w:tcPr>
                  <w:tcW w:w="4761" w:type="dxa"/>
                  <w:gridSpan w:val="2"/>
                  <w:tcBorders>
                    <w:top w:val="single" w:sz="6" w:space="0" w:color="000000"/>
                    <w:left w:val="single" w:sz="6" w:space="0" w:color="000000"/>
                    <w:bottom w:val="single" w:sz="6" w:space="0" w:color="FFFFFF"/>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Operating expenses were not lower as the result of energy conservation improvement to decrease future energy costs.  Revenues increase by 5% from 201</w:t>
                  </w:r>
                  <w:r w:rsidR="006B12F0" w:rsidRPr="0050509F">
                    <w:rPr>
                      <w:sz w:val="18"/>
                      <w:szCs w:val="18"/>
                    </w:rPr>
                    <w:t>6</w:t>
                  </w:r>
                  <w:r w:rsidRPr="0050509F">
                    <w:rPr>
                      <w:sz w:val="18"/>
                      <w:szCs w:val="18"/>
                    </w:rPr>
                    <w:t xml:space="preserve"> to 201</w:t>
                  </w:r>
                  <w:r w:rsidR="006B12F0" w:rsidRPr="0050509F">
                    <w:rPr>
                      <w:sz w:val="18"/>
                      <w:szCs w:val="18"/>
                    </w:rPr>
                    <w:t>7</w:t>
                  </w:r>
                  <w:r w:rsidRPr="0050509F">
                    <w:rPr>
                      <w:sz w:val="18"/>
                      <w:szCs w:val="18"/>
                    </w:rPr>
                    <w:t>.</w:t>
                  </w:r>
                </w:p>
              </w:tc>
            </w:tr>
            <w:tr w:rsidR="00933510" w:rsidRPr="0050509F" w:rsidTr="0050509F">
              <w:trPr>
                <w:gridAfter w:val="1"/>
                <w:wAfter w:w="28" w:type="dxa"/>
                <w:trHeight w:val="711"/>
              </w:trPr>
              <w:tc>
                <w:tcPr>
                  <w:tcW w:w="4761" w:type="dxa"/>
                  <w:tcBorders>
                    <w:top w:val="single" w:sz="6" w:space="0" w:color="000000"/>
                    <w:left w:val="single" w:sz="6" w:space="0" w:color="000000"/>
                    <w:bottom w:val="single" w:sz="6" w:space="0" w:color="FFFFFF"/>
                    <w:right w:val="single" w:sz="6" w:space="0" w:color="FFFFFF"/>
                  </w:tcBorders>
                </w:tcPr>
                <w:p w:rsidR="00933510" w:rsidRPr="0050509F" w:rsidRDefault="00933510" w:rsidP="00B22218">
                  <w:pPr>
                    <w:framePr w:hSpace="180" w:wrap="around" w:vAnchor="text" w:hAnchor="text" w:y="1"/>
                    <w:spacing w:after="9"/>
                    <w:suppressOverlap/>
                    <w:rPr>
                      <w:sz w:val="18"/>
                      <w:szCs w:val="18"/>
                    </w:rPr>
                  </w:pPr>
                  <w:r w:rsidRPr="0050509F">
                    <w:rPr>
                      <w:sz w:val="18"/>
                      <w:szCs w:val="18"/>
                    </w:rPr>
                    <w:t>All board members will attend training at national housing conferences.  201</w:t>
                  </w:r>
                  <w:r w:rsidR="006B12F0" w:rsidRPr="0050509F">
                    <w:rPr>
                      <w:sz w:val="18"/>
                      <w:szCs w:val="18"/>
                    </w:rPr>
                    <w:t>6</w:t>
                  </w:r>
                  <w:r w:rsidRPr="0050509F">
                    <w:rPr>
                      <w:sz w:val="18"/>
                      <w:szCs w:val="18"/>
                    </w:rPr>
                    <w:t>-201</w:t>
                  </w:r>
                  <w:r w:rsidR="006B12F0" w:rsidRPr="0050509F">
                    <w:rPr>
                      <w:sz w:val="18"/>
                      <w:szCs w:val="18"/>
                    </w:rPr>
                    <w:t>7</w:t>
                  </w:r>
                </w:p>
              </w:tc>
              <w:tc>
                <w:tcPr>
                  <w:tcW w:w="4761" w:type="dxa"/>
                  <w:gridSpan w:val="2"/>
                  <w:tcBorders>
                    <w:top w:val="single" w:sz="6" w:space="0" w:color="000000"/>
                    <w:left w:val="single" w:sz="6" w:space="0" w:color="000000"/>
                    <w:bottom w:val="single" w:sz="6" w:space="0" w:color="FFFFFF"/>
                    <w:right w:val="single" w:sz="6" w:space="0" w:color="000000"/>
                  </w:tcBorders>
                </w:tcPr>
                <w:p w:rsidR="00933510" w:rsidRPr="0050509F" w:rsidRDefault="006B12F0" w:rsidP="00B22218">
                  <w:pPr>
                    <w:framePr w:hSpace="180" w:wrap="around" w:vAnchor="text" w:hAnchor="text" w:y="1"/>
                    <w:spacing w:after="9"/>
                    <w:suppressOverlap/>
                    <w:rPr>
                      <w:sz w:val="18"/>
                      <w:szCs w:val="18"/>
                    </w:rPr>
                  </w:pPr>
                  <w:r w:rsidRPr="0050509F">
                    <w:rPr>
                      <w:sz w:val="18"/>
                      <w:szCs w:val="18"/>
                    </w:rPr>
                    <w:t>Four of the Five Board members attended training at a national conference in January 2017.</w:t>
                  </w:r>
                </w:p>
              </w:tc>
            </w:tr>
            <w:tr w:rsidR="00933510" w:rsidRPr="0050509F" w:rsidTr="0050509F">
              <w:trPr>
                <w:gridAfter w:val="1"/>
                <w:wAfter w:w="28" w:type="dxa"/>
                <w:trHeight w:val="1152"/>
              </w:trPr>
              <w:tc>
                <w:tcPr>
                  <w:tcW w:w="4761" w:type="dxa"/>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Provide on-site office space to KyADAPT and Greenhouse 17, agencies serving disabled families and victims of domestic violence. December 2015</w:t>
                  </w:r>
                </w:p>
              </w:tc>
              <w:tc>
                <w:tcPr>
                  <w:tcW w:w="4761"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In January 2016 KyADAPT and GreenHouse17 opened offices at two locations in Housing Authority of Danville housing sites.  These agencies provide information on accessing their services through the monthly resident newsletter. </w:t>
                  </w:r>
                </w:p>
              </w:tc>
            </w:tr>
            <w:tr w:rsidR="00933510" w:rsidRPr="0050509F" w:rsidTr="0050509F">
              <w:trPr>
                <w:trHeight w:hRule="exact" w:val="993"/>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Streamline office procedures through migration of current </w:t>
                  </w:r>
                  <w:proofErr w:type="spellStart"/>
                  <w:r w:rsidRPr="0050509F">
                    <w:rPr>
                      <w:sz w:val="18"/>
                      <w:szCs w:val="18"/>
                    </w:rPr>
                    <w:t>TenMast</w:t>
                  </w:r>
                  <w:proofErr w:type="spellEnd"/>
                  <w:r w:rsidRPr="0050509F">
                    <w:rPr>
                      <w:sz w:val="18"/>
                      <w:szCs w:val="18"/>
                    </w:rPr>
                    <w:t xml:space="preserve"> software from </w:t>
                  </w:r>
                  <w:proofErr w:type="spellStart"/>
                  <w:r w:rsidRPr="0050509F">
                    <w:rPr>
                      <w:sz w:val="18"/>
                      <w:szCs w:val="18"/>
                    </w:rPr>
                    <w:t>WinTen</w:t>
                  </w:r>
                  <w:proofErr w:type="spellEnd"/>
                  <w:r w:rsidRPr="0050509F">
                    <w:rPr>
                      <w:sz w:val="18"/>
                      <w:szCs w:val="18"/>
                    </w:rPr>
                    <w:t xml:space="preserve"> to </w:t>
                  </w:r>
                  <w:proofErr w:type="spellStart"/>
                  <w:r w:rsidRPr="0050509F">
                    <w:rPr>
                      <w:sz w:val="18"/>
                      <w:szCs w:val="18"/>
                    </w:rPr>
                    <w:t>WinTen</w:t>
                  </w:r>
                  <w:proofErr w:type="spellEnd"/>
                  <w:r w:rsidRPr="0050509F">
                    <w:rPr>
                      <w:sz w:val="18"/>
                      <w:szCs w:val="18"/>
                    </w:rPr>
                    <w:t xml:space="preserve"> 2+ by December 2015</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6B12F0" w:rsidP="00B22218">
                  <w:pPr>
                    <w:framePr w:hSpace="180" w:wrap="around" w:vAnchor="text" w:hAnchor="text" w:y="1"/>
                    <w:suppressOverlap/>
                    <w:rPr>
                      <w:sz w:val="18"/>
                      <w:szCs w:val="18"/>
                    </w:rPr>
                  </w:pPr>
                  <w:r w:rsidRPr="0050509F">
                    <w:rPr>
                      <w:sz w:val="18"/>
                      <w:szCs w:val="18"/>
                    </w:rPr>
                    <w:t xml:space="preserve">In the process of sending out an RFP for new software provider. </w:t>
                  </w:r>
                  <w:proofErr w:type="spellStart"/>
                  <w:r w:rsidRPr="0050509F">
                    <w:rPr>
                      <w:sz w:val="18"/>
                      <w:szCs w:val="18"/>
                    </w:rPr>
                    <w:t>TenMast</w:t>
                  </w:r>
                  <w:proofErr w:type="spellEnd"/>
                  <w:r w:rsidRPr="0050509F">
                    <w:rPr>
                      <w:sz w:val="18"/>
                      <w:szCs w:val="18"/>
                    </w:rPr>
                    <w:t xml:space="preserve"> software is not cost effective and unable to streamline office procedures effectively and efficiently.</w:t>
                  </w:r>
                </w:p>
              </w:tc>
            </w:tr>
            <w:tr w:rsidR="00933510" w:rsidRPr="0050509F" w:rsidTr="00A65969">
              <w:trPr>
                <w:trHeight w:hRule="exact" w:val="1142"/>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Promote the rights of the frail elderly to remain in their own homes.  </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Elderly continue to stay in their homes through join efforts with the two local Senior Citizens Centers and Senior Companions, a Title 6 program.  Services provided include care givers, meal preparation and light housekeeping.</w:t>
                  </w:r>
                </w:p>
              </w:tc>
            </w:tr>
            <w:tr w:rsidR="00933510" w:rsidRPr="0050509F" w:rsidTr="00A65969">
              <w:trPr>
                <w:trHeight w:hRule="exact" w:val="1142"/>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Continue to develop accessible units and group homes for adults with mental and physical disabilities.  </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Funding constraints through Capital Funds has prevented additional unit conversions.    Once necessary renovations are complete, the reconfiguration of units will be put back on the table.</w:t>
                  </w:r>
                </w:p>
              </w:tc>
            </w:tr>
            <w:tr w:rsidR="00933510" w:rsidRPr="0050509F" w:rsidTr="00A65969">
              <w:trPr>
                <w:trHeight w:hRule="exact" w:val="757"/>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Reduce vacancies to 3% or less</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Vacancies have successfully been reduced to for FYEs </w:t>
                  </w:r>
                  <w:r w:rsidR="00966DDC" w:rsidRPr="0050509F">
                    <w:rPr>
                      <w:sz w:val="18"/>
                      <w:szCs w:val="18"/>
                    </w:rPr>
                    <w:t xml:space="preserve">2014 (2.7%), 2015 (2.9%), </w:t>
                  </w:r>
                  <w:r w:rsidRPr="0050509F">
                    <w:rPr>
                      <w:sz w:val="18"/>
                      <w:szCs w:val="18"/>
                    </w:rPr>
                    <w:t>2016 (2.4%)</w:t>
                  </w:r>
                  <w:r w:rsidR="00966DDC" w:rsidRPr="0050509F">
                    <w:rPr>
                      <w:sz w:val="18"/>
                      <w:szCs w:val="18"/>
                    </w:rPr>
                    <w:t xml:space="preserve"> and 2017 (</w:t>
                  </w:r>
                  <w:r w:rsidR="007D0023" w:rsidRPr="0050509F">
                    <w:rPr>
                      <w:sz w:val="18"/>
                      <w:szCs w:val="18"/>
                    </w:rPr>
                    <w:t>2.9%)</w:t>
                  </w:r>
                </w:p>
              </w:tc>
            </w:tr>
            <w:tr w:rsidR="00933510" w:rsidRPr="0050509F" w:rsidTr="00A65969">
              <w:trPr>
                <w:trHeight w:hRule="exact" w:val="1142"/>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Build an Administrative Office Building that is energy efficient, environmentally friendly, accessible and welcoming to the clients and community.  </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Completed in January 2014, the new energy efficient Craftsman style building is occupied. The design allows access of all areas of the facility by all persons, regardless of disability.  </w:t>
                  </w:r>
                </w:p>
              </w:tc>
            </w:tr>
            <w:tr w:rsidR="00933510" w:rsidRPr="0050509F" w:rsidTr="0050509F">
              <w:trPr>
                <w:trHeight w:hRule="exact" w:val="777"/>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Provide avenues for family self-sufficiency for working families.</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50509F" w:rsidP="00B22218">
                  <w:pPr>
                    <w:framePr w:hSpace="180" w:wrap="around" w:vAnchor="text" w:hAnchor="text" w:y="1"/>
                    <w:suppressOverlap/>
                    <w:rPr>
                      <w:sz w:val="18"/>
                      <w:szCs w:val="18"/>
                    </w:rPr>
                  </w:pPr>
                  <w:r w:rsidRPr="0050509F">
                    <w:rPr>
                      <w:sz w:val="18"/>
                      <w:szCs w:val="18"/>
                    </w:rPr>
                    <w:t>In progress of forming FSS program for HAD. Action Plan has been written. Applying for FSS grant for FY2018.</w:t>
                  </w:r>
                </w:p>
              </w:tc>
            </w:tr>
            <w:tr w:rsidR="00933510" w:rsidRPr="0050509F" w:rsidTr="0050509F">
              <w:trPr>
                <w:trHeight w:hRule="exact" w:val="894"/>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Renovate units to provide a healthier and more affordable housing</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This work has been performed through routine unit turn-over.  No changes to the current policy will be made until the HUD regulation is published</w:t>
                  </w:r>
                </w:p>
              </w:tc>
            </w:tr>
            <w:tr w:rsidR="00933510" w:rsidRPr="0050509F" w:rsidTr="00A65969">
              <w:trPr>
                <w:trHeight w:hRule="exact" w:val="867"/>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Maintain the housing authority's physical assets in a manner that is both efficient and more cost effective.  </w:t>
                  </w:r>
                </w:p>
                <w:p w:rsidR="00933510" w:rsidRPr="0050509F" w:rsidRDefault="00933510" w:rsidP="00B22218">
                  <w:pPr>
                    <w:framePr w:hSpace="180" w:wrap="around" w:vAnchor="text" w:hAnchor="text" w:y="1"/>
                    <w:suppressOverlap/>
                    <w:rPr>
                      <w:sz w:val="18"/>
                      <w:szCs w:val="18"/>
                    </w:rPr>
                  </w:pP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Staff training is ongoing in an effort find methods to better facility management.  Overall costs for maintenance have not increased significantly.</w:t>
                  </w:r>
                </w:p>
              </w:tc>
            </w:tr>
            <w:tr w:rsidR="00933510" w:rsidRPr="0050509F" w:rsidTr="00A65969">
              <w:trPr>
                <w:trHeight w:hRule="exact" w:val="1142"/>
              </w:trPr>
              <w:tc>
                <w:tcPr>
                  <w:tcW w:w="4774" w:type="dxa"/>
                  <w:gridSpan w:val="2"/>
                  <w:tcBorders>
                    <w:top w:val="single" w:sz="6" w:space="0" w:color="000000"/>
                    <w:left w:val="single" w:sz="6" w:space="0" w:color="000000"/>
                    <w:bottom w:val="single" w:sz="6" w:space="0" w:color="000000"/>
                    <w:right w:val="single" w:sz="6" w:space="0" w:color="FFFFFF"/>
                  </w:tcBorders>
                </w:tcPr>
                <w:p w:rsidR="00933510" w:rsidRPr="0050509F" w:rsidRDefault="00933510" w:rsidP="00B22218">
                  <w:pPr>
                    <w:framePr w:hSpace="180" w:wrap="around" w:vAnchor="text" w:hAnchor="text" w:y="1"/>
                    <w:suppressOverlap/>
                    <w:rPr>
                      <w:sz w:val="18"/>
                      <w:szCs w:val="18"/>
                    </w:rPr>
                  </w:pPr>
                  <w:r w:rsidRPr="0050509F">
                    <w:rPr>
                      <w:sz w:val="18"/>
                      <w:szCs w:val="18"/>
                    </w:rPr>
                    <w:t>Promote environmental and energy conservation education for adults and children</w:t>
                  </w:r>
                </w:p>
              </w:tc>
              <w:tc>
                <w:tcPr>
                  <w:tcW w:w="4776" w:type="dxa"/>
                  <w:gridSpan w:val="2"/>
                  <w:tcBorders>
                    <w:top w:val="single" w:sz="6" w:space="0" w:color="000000"/>
                    <w:left w:val="single" w:sz="6" w:space="0" w:color="000000"/>
                    <w:bottom w:val="single" w:sz="6" w:space="0" w:color="000000"/>
                    <w:right w:val="single" w:sz="6" w:space="0" w:color="000000"/>
                  </w:tcBorders>
                </w:tcPr>
                <w:p w:rsidR="00933510" w:rsidRPr="0050509F" w:rsidRDefault="00933510" w:rsidP="00B22218">
                  <w:pPr>
                    <w:framePr w:hSpace="180" w:wrap="around" w:vAnchor="text" w:hAnchor="text" w:y="1"/>
                    <w:suppressOverlap/>
                    <w:rPr>
                      <w:sz w:val="18"/>
                      <w:szCs w:val="18"/>
                    </w:rPr>
                  </w:pPr>
                  <w:r w:rsidRPr="0050509F">
                    <w:rPr>
                      <w:sz w:val="18"/>
                      <w:szCs w:val="18"/>
                    </w:rPr>
                    <w:t xml:space="preserve">A community garden is flourishing at Bate-Wood homes.  Promoting </w:t>
                  </w:r>
                  <w:r w:rsidR="00A65969" w:rsidRPr="0050509F">
                    <w:rPr>
                      <w:sz w:val="18"/>
                      <w:szCs w:val="18"/>
                    </w:rPr>
                    <w:t xml:space="preserve">the idea of </w:t>
                  </w:r>
                  <w:r w:rsidRPr="0050509F">
                    <w:rPr>
                      <w:sz w:val="18"/>
                      <w:szCs w:val="18"/>
                    </w:rPr>
                    <w:t>energy conservation to residents is a struggle.</w:t>
                  </w:r>
                </w:p>
              </w:tc>
            </w:tr>
          </w:tbl>
          <w:p w:rsidR="00D60092" w:rsidRDefault="00D60092" w:rsidP="00B81BF4">
            <w:pPr>
              <w:rPr>
                <w:b/>
                <w:bCs/>
                <w:sz w:val="16"/>
                <w:szCs w:val="16"/>
              </w:rPr>
            </w:pPr>
          </w:p>
          <w:p w:rsidR="00822AF3" w:rsidRDefault="00822AF3" w:rsidP="00B81BF4">
            <w:pPr>
              <w:rPr>
                <w:b/>
                <w:bCs/>
                <w:sz w:val="16"/>
                <w:szCs w:val="16"/>
              </w:rPr>
            </w:pPr>
          </w:p>
        </w:tc>
      </w:tr>
      <w:tr w:rsidR="0032193C"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rsidR="0032193C" w:rsidRPr="006251D8" w:rsidRDefault="0032193C" w:rsidP="00837A39">
            <w:pPr>
              <w:rPr>
                <w:b/>
                <w:sz w:val="16"/>
                <w:szCs w:val="16"/>
              </w:rPr>
            </w:pPr>
          </w:p>
          <w:p w:rsidR="0032193C" w:rsidRPr="006251D8" w:rsidRDefault="0032193C" w:rsidP="00837A39">
            <w:pPr>
              <w:rPr>
                <w:b/>
                <w:sz w:val="16"/>
                <w:szCs w:val="16"/>
              </w:rPr>
            </w:pPr>
            <w:r w:rsidRPr="006251D8">
              <w:rPr>
                <w:b/>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rsidR="0032193C" w:rsidRPr="006251D8" w:rsidRDefault="0032193C" w:rsidP="0032193C">
            <w:pPr>
              <w:rPr>
                <w:b/>
                <w:bCs/>
                <w:sz w:val="16"/>
                <w:szCs w:val="16"/>
              </w:rPr>
            </w:pPr>
          </w:p>
          <w:p w:rsidR="0032193C" w:rsidRPr="006251D8" w:rsidRDefault="0032193C" w:rsidP="0032193C">
            <w:pPr>
              <w:rPr>
                <w:bCs/>
                <w:sz w:val="16"/>
                <w:szCs w:val="16"/>
              </w:rPr>
            </w:pPr>
            <w:r w:rsidRPr="006251D8">
              <w:rPr>
                <w:b/>
                <w:bCs/>
                <w:sz w:val="16"/>
                <w:szCs w:val="16"/>
              </w:rPr>
              <w:t>Most Recent Fiscal Year Audit</w:t>
            </w:r>
            <w:r w:rsidRPr="006251D8">
              <w:rPr>
                <w:bCs/>
                <w:sz w:val="16"/>
                <w:szCs w:val="16"/>
              </w:rPr>
              <w:t xml:space="preserve">.  </w:t>
            </w:r>
          </w:p>
          <w:p w:rsidR="0032193C" w:rsidRPr="006251D8" w:rsidRDefault="0032193C" w:rsidP="0032193C">
            <w:pPr>
              <w:rPr>
                <w:bCs/>
                <w:sz w:val="16"/>
                <w:szCs w:val="16"/>
              </w:rPr>
            </w:pPr>
          </w:p>
          <w:p w:rsidR="0032193C" w:rsidRPr="006251D8" w:rsidRDefault="0032193C" w:rsidP="0032193C">
            <w:pPr>
              <w:numPr>
                <w:ilvl w:val="0"/>
                <w:numId w:val="25"/>
              </w:numPr>
              <w:ind w:left="252" w:hanging="270"/>
              <w:rPr>
                <w:bCs/>
                <w:sz w:val="16"/>
                <w:szCs w:val="16"/>
              </w:rPr>
            </w:pPr>
            <w:r w:rsidRPr="006251D8">
              <w:rPr>
                <w:bCs/>
                <w:sz w:val="16"/>
                <w:szCs w:val="16"/>
              </w:rPr>
              <w:t xml:space="preserve">Were there any findings in the most recent FY Audit?  </w:t>
            </w:r>
          </w:p>
          <w:p w:rsidR="0032193C" w:rsidRPr="006251D8" w:rsidRDefault="0032193C" w:rsidP="0032193C">
            <w:pPr>
              <w:rPr>
                <w:bCs/>
                <w:sz w:val="16"/>
                <w:szCs w:val="16"/>
              </w:rPr>
            </w:pPr>
          </w:p>
          <w:p w:rsidR="0032193C" w:rsidRPr="006251D8" w:rsidRDefault="0032193C" w:rsidP="0032193C">
            <w:pPr>
              <w:rPr>
                <w:bCs/>
                <w:sz w:val="16"/>
                <w:szCs w:val="16"/>
              </w:rPr>
            </w:pPr>
            <w:r w:rsidRPr="006251D8">
              <w:rPr>
                <w:bCs/>
                <w:sz w:val="16"/>
                <w:szCs w:val="16"/>
              </w:rPr>
              <w:t xml:space="preserve">Y    N   </w:t>
            </w:r>
          </w:p>
          <w:p w:rsidR="0032193C" w:rsidRPr="006251D8" w:rsidRDefault="002D49BB" w:rsidP="0032193C">
            <w:pPr>
              <w:rPr>
                <w:bCs/>
                <w:sz w:val="16"/>
                <w:szCs w:val="16"/>
              </w:rPr>
            </w:pPr>
            <w:r w:rsidRPr="00FE77BB">
              <w:rPr>
                <w:sz w:val="16"/>
              </w:rPr>
              <w:fldChar w:fldCharType="begin">
                <w:ffData>
                  <w:name w:val="Check1"/>
                  <w:enabled/>
                  <w:calcOnExit w:val="0"/>
                  <w:checkBox>
                    <w:sizeAuto/>
                    <w:default w:val="0"/>
                  </w:checkBox>
                </w:ffData>
              </w:fldChar>
            </w:r>
            <w:r w:rsidR="0032193C" w:rsidRPr="00FE77BB">
              <w:rPr>
                <w:sz w:val="16"/>
              </w:rPr>
              <w:instrText xml:space="preserve"> FORMCHECKBOX </w:instrText>
            </w:r>
            <w:r w:rsidR="00CD3E80">
              <w:rPr>
                <w:sz w:val="16"/>
              </w:rPr>
            </w:r>
            <w:r w:rsidR="00CD3E80">
              <w:rPr>
                <w:sz w:val="16"/>
              </w:rPr>
              <w:fldChar w:fldCharType="separate"/>
            </w:r>
            <w:r w:rsidRPr="00FE77BB">
              <w:rPr>
                <w:sz w:val="16"/>
              </w:rPr>
              <w:fldChar w:fldCharType="end"/>
            </w:r>
            <w:r w:rsidR="0032193C" w:rsidRPr="00FE77BB">
              <w:rPr>
                <w:sz w:val="16"/>
              </w:rPr>
              <w:t xml:space="preserve">  </w:t>
            </w:r>
            <w:r>
              <w:rPr>
                <w:sz w:val="16"/>
              </w:rPr>
              <w:fldChar w:fldCharType="begin">
                <w:ffData>
                  <w:name w:val=""/>
                  <w:enabled/>
                  <w:calcOnExit w:val="0"/>
                  <w:checkBox>
                    <w:sizeAuto/>
                    <w:default w:val="1"/>
                  </w:checkBox>
                </w:ffData>
              </w:fldChar>
            </w:r>
            <w:r w:rsidR="00FF0D86">
              <w:rPr>
                <w:sz w:val="16"/>
              </w:rPr>
              <w:instrText xml:space="preserve"> FORMCHECKBOX </w:instrText>
            </w:r>
            <w:r w:rsidR="00CD3E80">
              <w:rPr>
                <w:sz w:val="16"/>
              </w:rPr>
            </w:r>
            <w:r w:rsidR="00CD3E80">
              <w:rPr>
                <w:sz w:val="16"/>
              </w:rPr>
              <w:fldChar w:fldCharType="separate"/>
            </w:r>
            <w:r>
              <w:rPr>
                <w:sz w:val="16"/>
              </w:rPr>
              <w:fldChar w:fldCharType="end"/>
            </w:r>
            <w:r w:rsidR="0032193C" w:rsidRPr="00FE77BB">
              <w:rPr>
                <w:sz w:val="16"/>
              </w:rPr>
              <w:t xml:space="preserve">  </w:t>
            </w:r>
          </w:p>
          <w:p w:rsidR="0032193C" w:rsidRPr="006251D8" w:rsidRDefault="0032193C" w:rsidP="0032193C">
            <w:pPr>
              <w:rPr>
                <w:bCs/>
                <w:sz w:val="16"/>
                <w:szCs w:val="16"/>
              </w:rPr>
            </w:pPr>
          </w:p>
          <w:p w:rsidR="0032193C" w:rsidRPr="006251D8" w:rsidRDefault="0032193C" w:rsidP="0032193C">
            <w:pPr>
              <w:pStyle w:val="ListParagraph"/>
              <w:numPr>
                <w:ilvl w:val="0"/>
                <w:numId w:val="25"/>
              </w:numPr>
              <w:rPr>
                <w:bCs/>
                <w:sz w:val="16"/>
                <w:szCs w:val="16"/>
              </w:rPr>
            </w:pPr>
            <w:r w:rsidRPr="006251D8">
              <w:rPr>
                <w:bCs/>
                <w:sz w:val="16"/>
                <w:szCs w:val="16"/>
              </w:rPr>
              <w:t xml:space="preserve">If yes, please describe: </w:t>
            </w:r>
          </w:p>
          <w:p w:rsidR="0032193C" w:rsidRPr="00FE77BB" w:rsidRDefault="0032193C" w:rsidP="00FE77BB">
            <w:pPr>
              <w:tabs>
                <w:tab w:val="left" w:pos="409"/>
                <w:tab w:val="left" w:pos="522"/>
              </w:tabs>
              <w:rPr>
                <w:b/>
                <w:sz w:val="16"/>
              </w:rPr>
            </w:pPr>
          </w:p>
        </w:tc>
      </w:tr>
      <w:tr w:rsidR="00837A39" w:rsidTr="00814F8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837A39" w:rsidRDefault="00837A39"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822AF3" w:rsidRDefault="00486BAA" w:rsidP="00814F8B">
            <w:pPr>
              <w:rPr>
                <w:b/>
                <w:bCs/>
                <w:sz w:val="20"/>
                <w:szCs w:val="20"/>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837A39" w:rsidTr="00FE77BB">
        <w:trPr>
          <w:gridAfter w:val="1"/>
          <w:wAfter w:w="9720" w:type="dxa"/>
          <w:cantSplit/>
          <w:trHeight w:val="1104"/>
        </w:trPr>
        <w:tc>
          <w:tcPr>
            <w:tcW w:w="540" w:type="dxa"/>
            <w:tcBorders>
              <w:top w:val="single" w:sz="4" w:space="0" w:color="auto"/>
              <w:left w:val="single" w:sz="4" w:space="0" w:color="auto"/>
              <w:bottom w:val="single" w:sz="4" w:space="0" w:color="auto"/>
              <w:right w:val="single" w:sz="4" w:space="0" w:color="auto"/>
            </w:tcBorders>
          </w:tcPr>
          <w:p w:rsidR="00822AF3" w:rsidRDefault="00822AF3" w:rsidP="00837A39">
            <w:pPr>
              <w:rPr>
                <w:b/>
                <w:sz w:val="16"/>
                <w:szCs w:val="16"/>
              </w:rPr>
            </w:pPr>
          </w:p>
          <w:p w:rsidR="00B01600" w:rsidRDefault="00B01600" w:rsidP="00837A39">
            <w:pPr>
              <w:rPr>
                <w:b/>
                <w:sz w:val="16"/>
                <w:szCs w:val="16"/>
              </w:rPr>
            </w:pPr>
            <w:r>
              <w:rPr>
                <w:b/>
                <w:sz w:val="16"/>
                <w:szCs w:val="16"/>
              </w:rPr>
              <w:t>C.</w:t>
            </w:r>
            <w:r w:rsidR="00065FB7">
              <w:rPr>
                <w:b/>
                <w:sz w:val="16"/>
                <w:szCs w:val="16"/>
              </w:rPr>
              <w:t>1</w:t>
            </w:r>
          </w:p>
          <w:p w:rsidR="00B01600" w:rsidRDefault="00B01600" w:rsidP="00837A39">
            <w:pPr>
              <w:rPr>
                <w:b/>
                <w:sz w:val="16"/>
                <w:szCs w:val="16"/>
              </w:rPr>
            </w:pPr>
          </w:p>
          <w:p w:rsidR="00B01600" w:rsidRDefault="00B01600" w:rsidP="00837A39">
            <w:pPr>
              <w:rPr>
                <w:b/>
                <w:sz w:val="16"/>
                <w:szCs w:val="16"/>
              </w:rPr>
            </w:pPr>
          </w:p>
          <w:p w:rsidR="00B01600" w:rsidRDefault="00B01600" w:rsidP="00837A39">
            <w:pPr>
              <w:rPr>
                <w:b/>
                <w:sz w:val="16"/>
                <w:szCs w:val="16"/>
              </w:rPr>
            </w:pPr>
          </w:p>
          <w:p w:rsidR="00B01600" w:rsidRDefault="00B01600" w:rsidP="00837A39">
            <w:pPr>
              <w:rPr>
                <w:b/>
                <w:sz w:val="16"/>
                <w:szCs w:val="16"/>
              </w:rPr>
            </w:pPr>
          </w:p>
          <w:p w:rsidR="00837A39" w:rsidRDefault="00837A39"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rsidR="00822AF3" w:rsidRDefault="00822AF3" w:rsidP="009368BC">
            <w:pPr>
              <w:tabs>
                <w:tab w:val="left" w:pos="409"/>
                <w:tab w:val="left" w:pos="522"/>
              </w:tabs>
              <w:rPr>
                <w:b/>
                <w:bCs/>
                <w:sz w:val="16"/>
                <w:szCs w:val="16"/>
              </w:rPr>
            </w:pPr>
          </w:p>
          <w:p w:rsidR="00B01600" w:rsidRDefault="00B01600" w:rsidP="009368BC">
            <w:pPr>
              <w:tabs>
                <w:tab w:val="left" w:pos="409"/>
                <w:tab w:val="left" w:pos="522"/>
              </w:tabs>
              <w:rPr>
                <w:b/>
                <w:bCs/>
                <w:sz w:val="16"/>
                <w:szCs w:val="16"/>
              </w:rPr>
            </w:pPr>
            <w:r>
              <w:rPr>
                <w:b/>
                <w:bCs/>
                <w:sz w:val="16"/>
                <w:szCs w:val="16"/>
              </w:rPr>
              <w:t xml:space="preserve">Certification Listing Policies and Programs </w:t>
            </w:r>
            <w:r w:rsidR="00BD5A31">
              <w:rPr>
                <w:b/>
                <w:bCs/>
                <w:sz w:val="16"/>
                <w:szCs w:val="16"/>
              </w:rPr>
              <w:t>that the PHA has Revised since Submission of its Last Annual Plan</w:t>
            </w:r>
            <w:r w:rsidR="00365123">
              <w:rPr>
                <w:b/>
                <w:bCs/>
                <w:sz w:val="16"/>
                <w:szCs w:val="16"/>
              </w:rPr>
              <w:t xml:space="preserve"> </w:t>
            </w:r>
          </w:p>
          <w:p w:rsidR="00BD5A31" w:rsidRDefault="00BD5A31" w:rsidP="009368BC">
            <w:pPr>
              <w:tabs>
                <w:tab w:val="left" w:pos="409"/>
                <w:tab w:val="left" w:pos="522"/>
              </w:tabs>
              <w:rPr>
                <w:b/>
                <w:bCs/>
                <w:sz w:val="16"/>
                <w:szCs w:val="16"/>
              </w:rPr>
            </w:pPr>
          </w:p>
          <w:p w:rsidR="00402AD8" w:rsidRPr="00365123" w:rsidRDefault="00452354" w:rsidP="00FE77BB">
            <w:pPr>
              <w:tabs>
                <w:tab w:val="left" w:pos="409"/>
                <w:tab w:val="left" w:pos="522"/>
              </w:tabs>
              <w:rPr>
                <w:sz w:val="16"/>
                <w:szCs w:val="16"/>
              </w:rPr>
            </w:pPr>
            <w:r>
              <w:rPr>
                <w:iCs/>
                <w:sz w:val="16"/>
                <w:szCs w:val="16"/>
                <w:u w:val="single"/>
              </w:rPr>
              <w:t>Form 50077-</w:t>
            </w:r>
            <w:r w:rsidR="00A9464A">
              <w:rPr>
                <w:iCs/>
                <w:sz w:val="16"/>
                <w:szCs w:val="16"/>
                <w:u w:val="single"/>
              </w:rPr>
              <w:t>ST-HCV-</w:t>
            </w:r>
            <w:r>
              <w:rPr>
                <w:iCs/>
                <w:sz w:val="16"/>
                <w:szCs w:val="16"/>
                <w:u w:val="single"/>
              </w:rPr>
              <w:t>HP</w:t>
            </w:r>
            <w:r>
              <w:rPr>
                <w:iCs/>
                <w:sz w:val="16"/>
                <w:szCs w:val="16"/>
              </w:rPr>
              <w:t xml:space="preserve">, </w:t>
            </w:r>
            <w:r w:rsidRPr="00BA7B8B">
              <w:rPr>
                <w:bCs/>
                <w:i/>
                <w:iCs/>
                <w:sz w:val="16"/>
                <w:szCs w:val="16"/>
              </w:rPr>
              <w:t>Certification of Compliance with PHA Plans and Related Regulations</w:t>
            </w:r>
            <w:r>
              <w:rPr>
                <w:i/>
                <w:iCs/>
                <w:sz w:val="16"/>
                <w:szCs w:val="16"/>
              </w:rPr>
              <w:t>,</w:t>
            </w:r>
            <w:r w:rsidRPr="00FE77BB">
              <w:rPr>
                <w:sz w:val="16"/>
              </w:rPr>
              <w:t xml:space="preserve"> </w:t>
            </w:r>
            <w:r>
              <w:rPr>
                <w:sz w:val="16"/>
                <w:szCs w:val="16"/>
              </w:rPr>
              <w:t>must be submitted by the PHA as an electronic attachment to the PHA Plan.</w:t>
            </w:r>
            <w:r w:rsidR="000C4966">
              <w:rPr>
                <w:sz w:val="16"/>
                <w:szCs w:val="16"/>
              </w:rPr>
              <w:t xml:space="preserve">  </w:t>
            </w:r>
          </w:p>
        </w:tc>
      </w:tr>
      <w:tr w:rsidR="00837A39" w:rsidTr="00B81BF4">
        <w:trPr>
          <w:gridAfter w:val="1"/>
          <w:wAfter w:w="9720" w:type="dxa"/>
          <w:cantSplit/>
          <w:trHeight w:val="843"/>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jc w:val="center"/>
              <w:rPr>
                <w:rFonts w:eastAsia="Calibri"/>
                <w:b/>
                <w:bCs/>
                <w:sz w:val="16"/>
                <w:szCs w:val="16"/>
              </w:rPr>
            </w:pPr>
          </w:p>
          <w:p w:rsidR="00837A39" w:rsidRDefault="00486BAA" w:rsidP="00486BAA">
            <w:pPr>
              <w:jc w:val="center"/>
              <w:rPr>
                <w:rFonts w:eastAsia="Calibri"/>
                <w:b/>
                <w:bCs/>
                <w:sz w:val="20"/>
                <w:szCs w:val="20"/>
              </w:rPr>
            </w:pPr>
            <w:r>
              <w:rPr>
                <w:b/>
                <w:bCs/>
                <w:sz w:val="16"/>
                <w:szCs w:val="16"/>
              </w:rPr>
              <w:t>C</w:t>
            </w:r>
            <w:r w:rsidR="00837A39">
              <w:rPr>
                <w:b/>
                <w:bCs/>
                <w:sz w:val="16"/>
                <w:szCs w:val="16"/>
              </w:rPr>
              <w:t>.</w:t>
            </w:r>
            <w:r>
              <w:rPr>
                <w:b/>
                <w:bCs/>
                <w:sz w:val="16"/>
                <w:szCs w:val="16"/>
              </w:rPr>
              <w:t>2</w:t>
            </w:r>
          </w:p>
        </w:tc>
        <w:tc>
          <w:tcPr>
            <w:tcW w:w="9720" w:type="dxa"/>
            <w:gridSpan w:val="6"/>
            <w:tcBorders>
              <w:top w:val="single" w:sz="4" w:space="0" w:color="auto"/>
              <w:left w:val="single" w:sz="4" w:space="0" w:color="auto"/>
              <w:bottom w:val="single" w:sz="4" w:space="0" w:color="auto"/>
              <w:right w:val="single" w:sz="4" w:space="0" w:color="auto"/>
            </w:tcBorders>
          </w:tcPr>
          <w:p w:rsidR="00837A39" w:rsidRDefault="00837A39" w:rsidP="00837A39">
            <w:pPr>
              <w:rPr>
                <w:rFonts w:eastAsia="Calibri"/>
                <w:b/>
                <w:bCs/>
                <w:sz w:val="16"/>
                <w:szCs w:val="16"/>
              </w:rPr>
            </w:pPr>
          </w:p>
          <w:p w:rsidR="00837A39" w:rsidRDefault="00837A39" w:rsidP="00837A39">
            <w:pPr>
              <w:rPr>
                <w:rFonts w:ascii="Calibri" w:hAnsi="Calibri"/>
                <w:b/>
                <w:bCs/>
                <w:sz w:val="16"/>
                <w:szCs w:val="16"/>
              </w:rPr>
            </w:pPr>
            <w:r>
              <w:rPr>
                <w:b/>
                <w:bCs/>
                <w:sz w:val="16"/>
                <w:szCs w:val="16"/>
              </w:rPr>
              <w:t xml:space="preserve">Civil Rights Certification.  </w:t>
            </w:r>
          </w:p>
          <w:p w:rsidR="00837A39" w:rsidRDefault="00837A39" w:rsidP="00837A39">
            <w:pPr>
              <w:ind w:left="-18" w:firstLine="18"/>
              <w:rPr>
                <w:b/>
                <w:bCs/>
                <w:sz w:val="16"/>
                <w:szCs w:val="16"/>
              </w:rPr>
            </w:pPr>
          </w:p>
          <w:p w:rsidR="00837A39" w:rsidRDefault="00BA7B8B" w:rsidP="00F7386D">
            <w:pPr>
              <w:rPr>
                <w:sz w:val="16"/>
                <w:szCs w:val="16"/>
              </w:rPr>
            </w:pPr>
            <w:r>
              <w:rPr>
                <w:iCs/>
                <w:sz w:val="16"/>
                <w:szCs w:val="16"/>
                <w:u w:val="single"/>
              </w:rPr>
              <w:t>Form 50077-</w:t>
            </w:r>
            <w:r w:rsidR="008F3A84">
              <w:rPr>
                <w:iCs/>
                <w:sz w:val="16"/>
                <w:szCs w:val="16"/>
                <w:u w:val="single"/>
              </w:rPr>
              <w:t>ST-HCV</w:t>
            </w:r>
            <w:r>
              <w:rPr>
                <w:iCs/>
                <w:sz w:val="16"/>
                <w:szCs w:val="16"/>
                <w:u w:val="single"/>
              </w:rPr>
              <w:t>-HP</w:t>
            </w:r>
            <w:r>
              <w:rPr>
                <w:iCs/>
                <w:sz w:val="16"/>
                <w:szCs w:val="16"/>
              </w:rPr>
              <w:t xml:space="preserve">, </w:t>
            </w:r>
            <w:r w:rsidRPr="00BA7B8B">
              <w:rPr>
                <w:bCs/>
                <w:i/>
                <w:iCs/>
                <w:sz w:val="16"/>
                <w:szCs w:val="16"/>
              </w:rPr>
              <w:t>Certification of Compliance with PHA Plans and Related Regulations</w:t>
            </w:r>
            <w:r w:rsidR="00837A39">
              <w:rPr>
                <w:i/>
                <w:iCs/>
                <w:sz w:val="16"/>
                <w:szCs w:val="16"/>
              </w:rPr>
              <w:t xml:space="preserve">, </w:t>
            </w:r>
            <w:r w:rsidR="00837A39">
              <w:rPr>
                <w:sz w:val="16"/>
                <w:szCs w:val="16"/>
              </w:rPr>
              <w:t>must be submitted by the PHA as an electronic attachment to the PHA Plan.</w:t>
            </w:r>
          </w:p>
          <w:p w:rsidR="00822AF3" w:rsidRPr="00BA7B8B" w:rsidRDefault="00822AF3" w:rsidP="00F7386D">
            <w:pPr>
              <w:rPr>
                <w:b/>
                <w:bCs/>
                <w:iCs/>
                <w:sz w:val="16"/>
                <w:szCs w:val="16"/>
              </w:rPr>
            </w:pPr>
          </w:p>
        </w:tc>
      </w:tr>
      <w:tr w:rsidR="00837A39" w:rsidTr="00B81BF4">
        <w:trPr>
          <w:gridAfter w:val="1"/>
          <w:wAfter w:w="9720" w:type="dxa"/>
          <w:cantSplit/>
          <w:trHeight w:val="1932"/>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jc w:val="center"/>
              <w:rPr>
                <w:b/>
                <w:bCs/>
                <w:sz w:val="16"/>
                <w:szCs w:val="16"/>
              </w:rPr>
            </w:pPr>
          </w:p>
          <w:p w:rsidR="00837A39" w:rsidRDefault="00486BAA" w:rsidP="00486BAA">
            <w:pPr>
              <w:jc w:val="center"/>
              <w:rPr>
                <w:b/>
                <w:bCs/>
                <w:sz w:val="16"/>
                <w:szCs w:val="16"/>
              </w:rPr>
            </w:pPr>
            <w:r>
              <w:rPr>
                <w:b/>
                <w:bCs/>
                <w:sz w:val="16"/>
                <w:szCs w:val="16"/>
              </w:rPr>
              <w:t>C</w:t>
            </w:r>
            <w:r w:rsidR="00837A39">
              <w:rPr>
                <w:b/>
                <w:bCs/>
                <w:sz w:val="16"/>
                <w:szCs w:val="16"/>
              </w:rPr>
              <w:t>.</w:t>
            </w:r>
            <w:r>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tcPr>
          <w:p w:rsidR="00837A39" w:rsidRPr="00B32F70" w:rsidRDefault="00837A39" w:rsidP="00837A39">
            <w:pPr>
              <w:rPr>
                <w:b/>
                <w:bCs/>
                <w:sz w:val="16"/>
                <w:szCs w:val="16"/>
              </w:rPr>
            </w:pPr>
          </w:p>
          <w:p w:rsidR="00837A39" w:rsidRPr="00BE5FE4" w:rsidRDefault="00837A39" w:rsidP="00837A39">
            <w:pPr>
              <w:rPr>
                <w:bCs/>
                <w:sz w:val="16"/>
                <w:szCs w:val="16"/>
              </w:rPr>
            </w:pPr>
            <w:r w:rsidRPr="00B32F70">
              <w:rPr>
                <w:b/>
                <w:bCs/>
                <w:sz w:val="16"/>
                <w:szCs w:val="16"/>
              </w:rPr>
              <w:t xml:space="preserve">Resident Advisory Board (RAB) Comments.   </w:t>
            </w:r>
          </w:p>
          <w:p w:rsidR="00837A39" w:rsidRDefault="00837A39" w:rsidP="00837A39">
            <w:pPr>
              <w:rPr>
                <w:bCs/>
                <w:sz w:val="16"/>
                <w:szCs w:val="16"/>
              </w:rPr>
            </w:pPr>
          </w:p>
          <w:p w:rsidR="00837A39" w:rsidRPr="00DE62BF" w:rsidRDefault="00837A39" w:rsidP="00837A39">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rsidR="00837A39" w:rsidRPr="00DE62BF" w:rsidRDefault="00837A39" w:rsidP="00837A39"/>
          <w:p w:rsidR="00837A39" w:rsidRPr="00BE5FE4" w:rsidRDefault="00837A39" w:rsidP="00837A39">
            <w:pPr>
              <w:rPr>
                <w:bCs/>
                <w:sz w:val="16"/>
                <w:szCs w:val="16"/>
              </w:rPr>
            </w:pPr>
            <w:r w:rsidRPr="00BE5FE4">
              <w:rPr>
                <w:bCs/>
                <w:sz w:val="16"/>
                <w:szCs w:val="16"/>
              </w:rPr>
              <w:t xml:space="preserve">Y     N   </w:t>
            </w:r>
          </w:p>
          <w:p w:rsidR="00A67243" w:rsidRPr="00BE5FE4" w:rsidRDefault="002D49BB" w:rsidP="00837A39">
            <w:pPr>
              <w:rPr>
                <w:bCs/>
                <w:sz w:val="16"/>
                <w:szCs w:val="16"/>
              </w:rPr>
            </w:pP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00CD3E80">
              <w:rPr>
                <w:bCs/>
                <w:sz w:val="16"/>
                <w:szCs w:val="16"/>
              </w:rPr>
            </w:r>
            <w:r w:rsidR="00CD3E80">
              <w:rPr>
                <w:bCs/>
                <w:sz w:val="16"/>
                <w:szCs w:val="16"/>
              </w:rPr>
              <w:fldChar w:fldCharType="separate"/>
            </w:r>
            <w:r w:rsidRPr="00BE5FE4">
              <w:rPr>
                <w:bCs/>
                <w:sz w:val="16"/>
                <w:szCs w:val="16"/>
              </w:rPr>
              <w:fldChar w:fldCharType="end"/>
            </w:r>
            <w:r w:rsidR="00837A39"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00CD3E80">
              <w:rPr>
                <w:bCs/>
                <w:sz w:val="16"/>
                <w:szCs w:val="16"/>
              </w:rPr>
            </w:r>
            <w:r w:rsidR="00CD3E80">
              <w:rPr>
                <w:bCs/>
                <w:sz w:val="16"/>
                <w:szCs w:val="16"/>
              </w:rPr>
              <w:fldChar w:fldCharType="separate"/>
            </w:r>
            <w:r w:rsidRPr="00BE5FE4">
              <w:rPr>
                <w:bCs/>
                <w:sz w:val="16"/>
                <w:szCs w:val="16"/>
              </w:rPr>
              <w:fldChar w:fldCharType="end"/>
            </w:r>
            <w:r w:rsidR="00837A39" w:rsidRPr="00BE5FE4">
              <w:rPr>
                <w:bCs/>
                <w:sz w:val="16"/>
                <w:szCs w:val="16"/>
              </w:rPr>
              <w:t xml:space="preserve">  </w:t>
            </w:r>
          </w:p>
          <w:p w:rsidR="00822AF3" w:rsidRDefault="00822AF3" w:rsidP="00325506">
            <w:pPr>
              <w:rPr>
                <w:bCs/>
                <w:sz w:val="16"/>
                <w:szCs w:val="16"/>
              </w:rPr>
            </w:pPr>
          </w:p>
          <w:p w:rsidR="00325506" w:rsidRPr="00325506" w:rsidRDefault="00325506" w:rsidP="00325506">
            <w:pPr>
              <w:rPr>
                <w:bCs/>
                <w:sz w:val="16"/>
                <w:szCs w:val="16"/>
              </w:rPr>
            </w:pPr>
            <w:r w:rsidRPr="00325506">
              <w:rPr>
                <w:bCs/>
                <w:sz w:val="16"/>
                <w:szCs w:val="16"/>
              </w:rPr>
              <w:t>If yes, comments must be submitted by the PHA as an attachment to the PHA Plan.  PHAs must also include a narrative describing their analysis of the RAB recommendations and the decisions made on these recommendations.</w:t>
            </w:r>
          </w:p>
          <w:p w:rsidR="00837A39" w:rsidRDefault="00837A39" w:rsidP="00837A39">
            <w:pPr>
              <w:rPr>
                <w:b/>
                <w:bCs/>
                <w:sz w:val="16"/>
                <w:szCs w:val="16"/>
              </w:rPr>
            </w:pPr>
          </w:p>
        </w:tc>
      </w:tr>
      <w:tr w:rsidR="00837A39" w:rsidTr="00B81BF4">
        <w:trPr>
          <w:cantSplit/>
          <w:trHeight w:val="960"/>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jc w:val="center"/>
              <w:rPr>
                <w:rFonts w:eastAsia="Calibri"/>
                <w:b/>
                <w:bCs/>
                <w:sz w:val="16"/>
                <w:szCs w:val="16"/>
              </w:rPr>
            </w:pPr>
          </w:p>
          <w:p w:rsidR="00837A39" w:rsidRDefault="00486BAA" w:rsidP="00486BAA">
            <w:pPr>
              <w:rPr>
                <w:rFonts w:eastAsia="Calibri"/>
                <w:b/>
                <w:bCs/>
                <w:sz w:val="16"/>
                <w:szCs w:val="16"/>
              </w:rPr>
            </w:pPr>
            <w:r>
              <w:rPr>
                <w:b/>
                <w:bCs/>
                <w:sz w:val="16"/>
                <w:szCs w:val="16"/>
              </w:rPr>
              <w:t>C</w:t>
            </w:r>
            <w:r w:rsidR="00837A39">
              <w:rPr>
                <w:b/>
                <w:bCs/>
                <w:sz w:val="16"/>
                <w:szCs w:val="16"/>
              </w:rPr>
              <w:t>.</w:t>
            </w:r>
            <w:r>
              <w:rPr>
                <w:b/>
                <w:bCs/>
                <w:sz w:val="16"/>
                <w:szCs w:val="16"/>
              </w:rPr>
              <w:t>4</w:t>
            </w: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837A39" w:rsidRDefault="00837A39" w:rsidP="00837A39">
            <w:pPr>
              <w:rPr>
                <w:rFonts w:eastAsia="Calibri"/>
                <w:b/>
                <w:bCs/>
                <w:sz w:val="16"/>
                <w:szCs w:val="16"/>
              </w:rPr>
            </w:pPr>
          </w:p>
          <w:p w:rsidR="00837A39" w:rsidRDefault="00837A39" w:rsidP="00837A39">
            <w:pPr>
              <w:rPr>
                <w:rFonts w:ascii="Calibri" w:hAnsi="Calibri"/>
                <w:b/>
                <w:bCs/>
                <w:sz w:val="16"/>
                <w:szCs w:val="16"/>
              </w:rPr>
            </w:pPr>
            <w:r>
              <w:rPr>
                <w:b/>
                <w:bCs/>
                <w:sz w:val="16"/>
                <w:szCs w:val="16"/>
              </w:rPr>
              <w:t xml:space="preserve">Certification by State or Local Officials. </w:t>
            </w:r>
          </w:p>
          <w:p w:rsidR="00837A39" w:rsidRDefault="00837A39" w:rsidP="00837A39">
            <w:pPr>
              <w:rPr>
                <w:b/>
                <w:bCs/>
                <w:sz w:val="16"/>
                <w:szCs w:val="16"/>
              </w:rPr>
            </w:pPr>
          </w:p>
          <w:p w:rsidR="00837A39" w:rsidRDefault="00CD3E80" w:rsidP="00837A39">
            <w:pPr>
              <w:rPr>
                <w:sz w:val="16"/>
                <w:szCs w:val="16"/>
              </w:rPr>
            </w:pPr>
            <w:hyperlink r:id="rId14" w:history="1">
              <w:r w:rsidR="00837A39">
                <w:rPr>
                  <w:rStyle w:val="Hyperlink"/>
                  <w:sz w:val="16"/>
                  <w:szCs w:val="16"/>
                </w:rPr>
                <w:t>Form HUD 50077-SL</w:t>
              </w:r>
            </w:hyperlink>
            <w:r w:rsidR="00837A39">
              <w:rPr>
                <w:sz w:val="16"/>
                <w:szCs w:val="16"/>
              </w:rPr>
              <w:t xml:space="preserve">, </w:t>
            </w:r>
            <w:r w:rsidR="00837A39">
              <w:rPr>
                <w:i/>
                <w:iCs/>
                <w:sz w:val="16"/>
                <w:szCs w:val="16"/>
              </w:rPr>
              <w:t>Certification by State or Local Officials of PHA Plans Consistency with the Consolidated Plan</w:t>
            </w:r>
            <w:r w:rsidR="00837A39">
              <w:rPr>
                <w:sz w:val="16"/>
                <w:szCs w:val="16"/>
              </w:rPr>
              <w:t>, must be submitted by the PHA as an electronic attachment to the PHA Plan.</w:t>
            </w:r>
          </w:p>
          <w:p w:rsidR="00837A39" w:rsidRDefault="00837A39" w:rsidP="00837A39">
            <w:pPr>
              <w:rPr>
                <w:rFonts w:eastAsia="Calibri"/>
                <w:b/>
                <w:bCs/>
                <w:sz w:val="20"/>
                <w:szCs w:val="20"/>
              </w:rPr>
            </w:pPr>
          </w:p>
        </w:tc>
        <w:tc>
          <w:tcPr>
            <w:tcW w:w="9720" w:type="dxa"/>
            <w:tcBorders>
              <w:top w:val="nil"/>
              <w:left w:val="single" w:sz="4" w:space="0" w:color="auto"/>
              <w:bottom w:val="nil"/>
              <w:right w:val="nil"/>
            </w:tcBorders>
          </w:tcPr>
          <w:p w:rsidR="00837A39" w:rsidRDefault="00837A39" w:rsidP="00837A39">
            <w:pPr>
              <w:rPr>
                <w:b/>
                <w:bCs/>
                <w:sz w:val="16"/>
                <w:szCs w:val="16"/>
              </w:rPr>
            </w:pPr>
          </w:p>
        </w:tc>
      </w:tr>
      <w:tr w:rsidR="00837A39" w:rsidRPr="00775B59" w:rsidTr="00FE77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834"/>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837A39" w:rsidRPr="00F15E31" w:rsidRDefault="00837A39" w:rsidP="00837A39">
            <w:pPr>
              <w:jc w:val="center"/>
              <w:rPr>
                <w:b/>
                <w:bCs/>
                <w:sz w:val="20"/>
                <w:szCs w:val="20"/>
              </w:rPr>
            </w:pPr>
          </w:p>
          <w:p w:rsidR="00837A39" w:rsidRPr="00DE62BF" w:rsidRDefault="00486BAA" w:rsidP="00486BAA">
            <w:pPr>
              <w:jc w:val="center"/>
              <w:rPr>
                <w:b/>
                <w:bCs/>
                <w:sz w:val="20"/>
                <w:szCs w:val="20"/>
              </w:rPr>
            </w:pPr>
            <w:r>
              <w:rPr>
                <w:b/>
                <w:bCs/>
                <w:sz w:val="20"/>
                <w:szCs w:val="20"/>
              </w:rPr>
              <w:t>D</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837A39" w:rsidRDefault="00837A39" w:rsidP="00814F8B">
            <w:pPr>
              <w:rPr>
                <w:rFonts w:cs="Arial"/>
                <w:b/>
                <w:bCs/>
                <w:sz w:val="18"/>
                <w:szCs w:val="18"/>
              </w:rPr>
            </w:pPr>
          </w:p>
          <w:p w:rsidR="00837A39" w:rsidRDefault="00DC042F" w:rsidP="00814F8B">
            <w:pPr>
              <w:rPr>
                <w:b/>
                <w:bCs/>
                <w:sz w:val="16"/>
                <w:szCs w:val="16"/>
              </w:rPr>
            </w:pPr>
            <w:r>
              <w:rPr>
                <w:rFonts w:cs="Arial"/>
                <w:b/>
                <w:bCs/>
                <w:sz w:val="20"/>
                <w:szCs w:val="20"/>
              </w:rPr>
              <w:t xml:space="preserve">Statement of </w:t>
            </w:r>
            <w:r w:rsidR="00837A39">
              <w:rPr>
                <w:rFonts w:cs="Arial"/>
                <w:b/>
                <w:bCs/>
                <w:sz w:val="20"/>
                <w:szCs w:val="20"/>
              </w:rPr>
              <w:t>Capital Improvements</w:t>
            </w:r>
            <w:r w:rsidR="00837A39" w:rsidRPr="00DE62BF">
              <w:rPr>
                <w:rFonts w:cs="Arial"/>
                <w:bCs/>
                <w:sz w:val="20"/>
                <w:szCs w:val="20"/>
              </w:rPr>
              <w:t xml:space="preserve">.  </w:t>
            </w:r>
            <w:r w:rsidR="00837A39" w:rsidRPr="0047344A">
              <w:rPr>
                <w:rFonts w:cs="Arial"/>
                <w:bCs/>
                <w:sz w:val="20"/>
                <w:szCs w:val="20"/>
              </w:rPr>
              <w:t xml:space="preserve">Required </w:t>
            </w:r>
            <w:r w:rsidR="00D56769">
              <w:rPr>
                <w:rFonts w:cs="Arial"/>
                <w:bCs/>
                <w:sz w:val="20"/>
                <w:szCs w:val="20"/>
              </w:rPr>
              <w:t xml:space="preserve">in all years </w:t>
            </w:r>
            <w:r w:rsidR="00837A39" w:rsidRPr="0047344A">
              <w:rPr>
                <w:rFonts w:cs="Arial"/>
                <w:bCs/>
                <w:sz w:val="20"/>
                <w:szCs w:val="20"/>
              </w:rPr>
              <w:t>for all PHAs completing this form that administer public housing and receive funding from the Capital Fund Program (CFP).</w:t>
            </w:r>
            <w:r w:rsidR="00837A39">
              <w:rPr>
                <w:rFonts w:cs="Arial"/>
                <w:bCs/>
                <w:sz w:val="18"/>
                <w:szCs w:val="18"/>
              </w:rPr>
              <w:t xml:space="preserve"> </w:t>
            </w:r>
          </w:p>
        </w:tc>
      </w:tr>
      <w:tr w:rsidR="00837A39" w:rsidRPr="00775B59" w:rsidTr="00FE77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7A39" w:rsidRPr="00F15E31" w:rsidRDefault="00837A39" w:rsidP="00837A39">
            <w:pPr>
              <w:jc w:val="center"/>
              <w:rPr>
                <w:b/>
                <w:bCs/>
                <w:sz w:val="16"/>
                <w:szCs w:val="16"/>
              </w:rPr>
            </w:pPr>
          </w:p>
          <w:p w:rsidR="00837A39" w:rsidRPr="00F15E31" w:rsidRDefault="00486BAA" w:rsidP="00486BAA">
            <w:pPr>
              <w:jc w:val="center"/>
              <w:rPr>
                <w:b/>
                <w:bCs/>
                <w:sz w:val="20"/>
                <w:szCs w:val="20"/>
              </w:rPr>
            </w:pPr>
            <w:r>
              <w:rPr>
                <w:b/>
                <w:bCs/>
                <w:sz w:val="16"/>
                <w:szCs w:val="16"/>
              </w:rPr>
              <w:t>D</w:t>
            </w:r>
            <w:r w:rsidR="00837A39"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A39" w:rsidRDefault="00837A39" w:rsidP="00837A39">
            <w:pPr>
              <w:rPr>
                <w:rFonts w:cs="Arial"/>
                <w:b/>
                <w:bCs/>
                <w:sz w:val="16"/>
                <w:szCs w:val="16"/>
              </w:rPr>
            </w:pPr>
          </w:p>
          <w:p w:rsidR="00837A39" w:rsidRDefault="00837A39" w:rsidP="00822AF3">
            <w:pPr>
              <w:pStyle w:val="BodyText"/>
              <w:tabs>
                <w:tab w:val="left" w:pos="2286"/>
              </w:tabs>
              <w:jc w:val="left"/>
              <w:rPr>
                <w:rFonts w:cs="Arial"/>
                <w:bCs/>
                <w:sz w:val="16"/>
                <w:szCs w:val="16"/>
              </w:rPr>
            </w:pPr>
            <w:r>
              <w:rPr>
                <w:rFonts w:cs="Arial"/>
                <w:b/>
                <w:bCs/>
                <w:sz w:val="16"/>
                <w:szCs w:val="16"/>
              </w:rPr>
              <w:t>Capital Improvements.</w:t>
            </w:r>
            <w:r>
              <w:rPr>
                <w:bCs/>
                <w:sz w:val="16"/>
                <w:szCs w:val="16"/>
              </w:rPr>
              <w:t xml:space="preserve"> </w:t>
            </w:r>
            <w:r w:rsidR="00822AF3">
              <w:rPr>
                <w:rFonts w:cs="Arial"/>
                <w:bCs/>
                <w:sz w:val="16"/>
                <w:szCs w:val="16"/>
              </w:rPr>
              <w:t>Include a reference here to the most recent HUD-approved 5-Year Action Plan (HUD-50075.</w:t>
            </w:r>
            <w:r w:rsidR="00EF5BDB">
              <w:rPr>
                <w:rFonts w:cs="Arial"/>
                <w:bCs/>
                <w:sz w:val="16"/>
                <w:szCs w:val="16"/>
              </w:rPr>
              <w:t>2</w:t>
            </w:r>
            <w:r w:rsidR="00822AF3">
              <w:rPr>
                <w:rFonts w:cs="Arial"/>
                <w:bCs/>
                <w:sz w:val="16"/>
                <w:szCs w:val="16"/>
              </w:rPr>
              <w:t>) and the date that it was approved by HUD.</w:t>
            </w:r>
          </w:p>
          <w:p w:rsidR="00837A39" w:rsidRPr="00F15E31" w:rsidRDefault="00837A39" w:rsidP="00837A39">
            <w:pPr>
              <w:rPr>
                <w:rFonts w:cs="Arial"/>
                <w:b/>
                <w:bCs/>
                <w:sz w:val="16"/>
                <w:szCs w:val="16"/>
              </w:rPr>
            </w:pPr>
          </w:p>
        </w:tc>
      </w:tr>
    </w:tbl>
    <w:p w:rsidR="009368BC" w:rsidRDefault="009368BC" w:rsidP="009368BC">
      <w:pPr>
        <w:tabs>
          <w:tab w:val="left" w:pos="360"/>
        </w:tabs>
        <w:rPr>
          <w:b/>
          <w:bCs/>
          <w:color w:val="000000"/>
          <w:sz w:val="16"/>
          <w:szCs w:val="16"/>
        </w:rPr>
      </w:pPr>
    </w:p>
    <w:p w:rsidR="009D6B42" w:rsidRDefault="009D6B42" w:rsidP="009368BC">
      <w:pPr>
        <w:tabs>
          <w:tab w:val="left" w:pos="360"/>
        </w:tabs>
        <w:rPr>
          <w:b/>
          <w:bCs/>
          <w:color w:val="000000"/>
          <w:sz w:val="16"/>
          <w:szCs w:val="16"/>
        </w:rPr>
      </w:pPr>
    </w:p>
    <w:p w:rsidR="00822AF3" w:rsidRDefault="00822AF3" w:rsidP="00FE77BB">
      <w:pPr>
        <w:rPr>
          <w:b/>
          <w:bCs/>
          <w:color w:val="000000"/>
          <w:sz w:val="16"/>
          <w:szCs w:val="16"/>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908BA" w:rsidRPr="00FE77BB" w:rsidRDefault="008908BA" w:rsidP="00FE77BB">
      <w:pPr>
        <w:rPr>
          <w:rFonts w:eastAsia="Calibri"/>
          <w:b/>
          <w:sz w:val="28"/>
        </w:rPr>
      </w:pPr>
    </w:p>
    <w:p w:rsidR="00814F8B" w:rsidRDefault="00814F8B" w:rsidP="00FE77BB">
      <w:pPr>
        <w:rPr>
          <w:rFonts w:eastAsia="Calibri"/>
          <w:b/>
          <w:sz w:val="28"/>
        </w:rPr>
      </w:pPr>
    </w:p>
    <w:p w:rsidR="009D6B42" w:rsidRDefault="009D6B42" w:rsidP="009D6B42">
      <w:pPr>
        <w:rPr>
          <w:rFonts w:eastAsia="Calibri"/>
          <w:b/>
          <w:bCs/>
          <w:sz w:val="28"/>
          <w:szCs w:val="28"/>
        </w:rPr>
      </w:pPr>
      <w:r w:rsidRPr="00ED0A68">
        <w:rPr>
          <w:rFonts w:eastAsia="Calibri"/>
          <w:b/>
          <w:bCs/>
          <w:sz w:val="28"/>
          <w:szCs w:val="28"/>
        </w:rPr>
        <w:lastRenderedPageBreak/>
        <w:t>Instructions for Preparation of Form HUD-5007</w:t>
      </w:r>
      <w:r w:rsidR="008F3A84">
        <w:rPr>
          <w:rFonts w:eastAsia="Calibri"/>
          <w:b/>
          <w:bCs/>
          <w:sz w:val="28"/>
          <w:szCs w:val="28"/>
        </w:rPr>
        <w:t>5</w:t>
      </w:r>
      <w:r w:rsidRPr="00ED0A68">
        <w:rPr>
          <w:rFonts w:eastAsia="Calibri"/>
          <w:b/>
          <w:bCs/>
          <w:sz w:val="28"/>
          <w:szCs w:val="28"/>
        </w:rPr>
        <w:t>-</w:t>
      </w:r>
      <w:r w:rsidR="00B81BF4">
        <w:rPr>
          <w:rFonts w:eastAsia="Calibri"/>
          <w:b/>
          <w:bCs/>
          <w:sz w:val="28"/>
          <w:szCs w:val="28"/>
        </w:rPr>
        <w:t>HP</w:t>
      </w:r>
    </w:p>
    <w:p w:rsidR="009D6B42" w:rsidRDefault="009D6B42" w:rsidP="009D6B42">
      <w:pPr>
        <w:rPr>
          <w:rFonts w:eastAsia="Calibri"/>
          <w:b/>
          <w:bCs/>
          <w:sz w:val="28"/>
          <w:szCs w:val="28"/>
        </w:rPr>
      </w:pPr>
      <w:r>
        <w:rPr>
          <w:rFonts w:eastAsia="Calibri"/>
          <w:b/>
          <w:bCs/>
          <w:sz w:val="28"/>
          <w:szCs w:val="28"/>
        </w:rPr>
        <w:t xml:space="preserve">Annual </w:t>
      </w:r>
      <w:r w:rsidR="00B81BF4">
        <w:rPr>
          <w:rFonts w:eastAsia="Calibri"/>
          <w:b/>
          <w:bCs/>
          <w:sz w:val="28"/>
          <w:szCs w:val="28"/>
        </w:rPr>
        <w:t>Plan</w:t>
      </w:r>
      <w:r>
        <w:rPr>
          <w:rFonts w:eastAsia="Calibri"/>
          <w:b/>
          <w:bCs/>
          <w:sz w:val="28"/>
          <w:szCs w:val="28"/>
        </w:rPr>
        <w:t xml:space="preserve"> for </w:t>
      </w:r>
      <w:r w:rsidR="00B81BF4">
        <w:rPr>
          <w:rFonts w:eastAsia="Calibri"/>
          <w:b/>
          <w:bCs/>
          <w:sz w:val="28"/>
          <w:szCs w:val="28"/>
        </w:rPr>
        <w:t>High Performing</w:t>
      </w:r>
      <w:r w:rsidRPr="00ED0A68">
        <w:rPr>
          <w:rFonts w:eastAsia="Calibri"/>
          <w:b/>
          <w:bCs/>
          <w:sz w:val="28"/>
          <w:szCs w:val="28"/>
        </w:rPr>
        <w:t xml:space="preserve"> PHAs</w:t>
      </w:r>
    </w:p>
    <w:p w:rsidR="009D6B42" w:rsidRDefault="009D6B42" w:rsidP="009368BC">
      <w:pPr>
        <w:tabs>
          <w:tab w:val="left" w:pos="360"/>
        </w:tabs>
        <w:rPr>
          <w:b/>
          <w:bCs/>
          <w:color w:val="000000"/>
        </w:rPr>
      </w:pPr>
    </w:p>
    <w:p w:rsidR="009368BC" w:rsidRPr="007621AF" w:rsidRDefault="009368BC" w:rsidP="009368BC">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rsidR="009368BC" w:rsidRDefault="009368BC" w:rsidP="009368BC">
      <w:pPr>
        <w:ind w:left="360"/>
        <w:rPr>
          <w:color w:val="000000"/>
          <w:sz w:val="16"/>
          <w:szCs w:val="16"/>
        </w:rPr>
      </w:pPr>
    </w:p>
    <w:p w:rsidR="009368BC" w:rsidRDefault="009368BC" w:rsidP="009368BC">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5" w:anchor="24:4.0.3.1.3.2.5.14" w:history="1">
        <w:r w:rsidRPr="00BD6EA4">
          <w:rPr>
            <w:rStyle w:val="Hyperlink"/>
            <w:bCs/>
            <w:sz w:val="16"/>
            <w:szCs w:val="16"/>
          </w:rPr>
          <w:t>24 CFR §903.23(4)(e)</w:t>
        </w:r>
      </w:hyperlink>
      <w:r>
        <w:rPr>
          <w:bCs/>
          <w:sz w:val="16"/>
          <w:szCs w:val="16"/>
        </w:rPr>
        <w:t xml:space="preserve">)  </w:t>
      </w:r>
    </w:p>
    <w:p w:rsidR="009368BC" w:rsidRPr="00186312" w:rsidRDefault="009368BC" w:rsidP="009368BC">
      <w:pPr>
        <w:ind w:left="720" w:hanging="360"/>
        <w:rPr>
          <w:color w:val="000000"/>
          <w:sz w:val="16"/>
          <w:szCs w:val="16"/>
        </w:rPr>
      </w:pPr>
    </w:p>
    <w:p w:rsidR="009368BC" w:rsidRPr="00D55F8B" w:rsidRDefault="009368BC" w:rsidP="009368BC">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6" w:anchor="24:4.0.3.1.10.2.5.7" w:history="1">
        <w:r w:rsidRPr="00BD6EA4">
          <w:rPr>
            <w:rStyle w:val="Hyperlink"/>
            <w:bCs/>
            <w:sz w:val="16"/>
            <w:szCs w:val="16"/>
          </w:rPr>
          <w:t>24 CFR §943.128(a)</w:t>
        </w:r>
      </w:hyperlink>
      <w:r>
        <w:rPr>
          <w:bCs/>
          <w:sz w:val="16"/>
          <w:szCs w:val="16"/>
        </w:rPr>
        <w:t xml:space="preserve">)  </w:t>
      </w:r>
    </w:p>
    <w:p w:rsidR="009368BC" w:rsidRDefault="009368BC" w:rsidP="009368BC">
      <w:pPr>
        <w:rPr>
          <w:b/>
          <w:color w:val="000000"/>
          <w:sz w:val="16"/>
          <w:szCs w:val="16"/>
        </w:rPr>
      </w:pPr>
    </w:p>
    <w:p w:rsidR="009368BC" w:rsidRPr="007621AF" w:rsidRDefault="009368BC" w:rsidP="009368BC">
      <w:pPr>
        <w:rPr>
          <w:color w:val="000000"/>
          <w:sz w:val="16"/>
          <w:szCs w:val="16"/>
        </w:rPr>
      </w:pPr>
      <w:r>
        <w:rPr>
          <w:b/>
          <w:color w:val="000000"/>
          <w:sz w:val="16"/>
          <w:szCs w:val="16"/>
        </w:rPr>
        <w:t xml:space="preserve">B.     Annual Plan.  </w:t>
      </w:r>
    </w:p>
    <w:p w:rsidR="009368BC" w:rsidRPr="00186312" w:rsidRDefault="009368BC" w:rsidP="009368BC">
      <w:pPr>
        <w:rPr>
          <w:b/>
          <w:bCs/>
          <w:sz w:val="16"/>
          <w:szCs w:val="16"/>
        </w:rPr>
      </w:pPr>
    </w:p>
    <w:p w:rsidR="009368BC" w:rsidRPr="00186312" w:rsidRDefault="009368BC" w:rsidP="009368BC">
      <w:pPr>
        <w:ind w:left="720" w:hanging="360"/>
        <w:rPr>
          <w:b/>
          <w:bCs/>
          <w:sz w:val="16"/>
          <w:szCs w:val="16"/>
        </w:rPr>
      </w:pPr>
      <w:r>
        <w:rPr>
          <w:b/>
          <w:bCs/>
          <w:sz w:val="16"/>
          <w:szCs w:val="16"/>
        </w:rPr>
        <w:t>B.1</w:t>
      </w:r>
      <w:r>
        <w:rPr>
          <w:b/>
          <w:bCs/>
          <w:sz w:val="16"/>
          <w:szCs w:val="16"/>
        </w:rPr>
        <w:tab/>
        <w:t xml:space="preserve">Revision of PHA Plan Elements. </w:t>
      </w:r>
      <w:r w:rsidRPr="001B2669">
        <w:rPr>
          <w:bCs/>
          <w:sz w:val="16"/>
          <w:szCs w:val="16"/>
        </w:rPr>
        <w:t>PHA</w:t>
      </w:r>
      <w:r>
        <w:rPr>
          <w:bCs/>
          <w:sz w:val="16"/>
          <w:szCs w:val="16"/>
        </w:rPr>
        <w:t>s</w:t>
      </w:r>
      <w:r w:rsidRPr="001B2669">
        <w:rPr>
          <w:bCs/>
          <w:sz w:val="16"/>
          <w:szCs w:val="16"/>
        </w:rPr>
        <w:t xml:space="preserve"> must:</w:t>
      </w:r>
    </w:p>
    <w:p w:rsidR="009368BC" w:rsidRPr="00186312" w:rsidRDefault="009368BC" w:rsidP="009368BC">
      <w:pPr>
        <w:tabs>
          <w:tab w:val="left" w:pos="360"/>
        </w:tabs>
        <w:ind w:left="720"/>
        <w:rPr>
          <w:b/>
          <w:bCs/>
          <w:sz w:val="16"/>
          <w:szCs w:val="16"/>
        </w:rPr>
      </w:pPr>
    </w:p>
    <w:p w:rsidR="009368BC" w:rsidRDefault="009368BC" w:rsidP="009368BC">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p>
    <w:p w:rsidR="009368BC" w:rsidRPr="00186312" w:rsidRDefault="009368BC" w:rsidP="009368BC">
      <w:pPr>
        <w:tabs>
          <w:tab w:val="left" w:pos="1260"/>
        </w:tabs>
        <w:ind w:left="720" w:hanging="360"/>
        <w:rPr>
          <w:sz w:val="16"/>
          <w:szCs w:val="16"/>
        </w:rPr>
      </w:pPr>
    </w:p>
    <w:p w:rsidR="009A23CB" w:rsidRPr="009A23CB" w:rsidRDefault="002D49BB"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color w:val="000000"/>
          <w:sz w:val="16"/>
          <w:szCs w:val="16"/>
        </w:rPr>
        <w:t xml:space="preserve">Statement of </w:t>
      </w:r>
      <w:r w:rsidR="009368BC" w:rsidRPr="0014000A">
        <w:rPr>
          <w:b/>
          <w:color w:val="000000"/>
          <w:sz w:val="16"/>
          <w:szCs w:val="16"/>
        </w:rPr>
        <w:t>Housing Needs</w:t>
      </w:r>
      <w:r w:rsidR="00822AF3">
        <w:rPr>
          <w:b/>
          <w:color w:val="000000"/>
          <w:sz w:val="16"/>
          <w:szCs w:val="16"/>
        </w:rPr>
        <w:t xml:space="preserve"> and Strategy for Addressing Housing Needs</w:t>
      </w:r>
      <w:r w:rsidR="009368BC" w:rsidRPr="0014000A">
        <w:rPr>
          <w:b/>
          <w:color w:val="000000"/>
          <w:sz w:val="16"/>
          <w:szCs w:val="16"/>
        </w:rPr>
        <w:t xml:space="preserve">.  </w:t>
      </w:r>
      <w:r w:rsidR="009368BC" w:rsidRPr="0014000A">
        <w:rPr>
          <w:color w:val="000000"/>
          <w:sz w:val="16"/>
          <w:szCs w:val="16"/>
        </w:rPr>
        <w:t>Provide a statement</w:t>
      </w:r>
      <w:r w:rsidR="009368BC">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PHA. The statement must identify the housing needs of (</w:t>
      </w:r>
      <w:proofErr w:type="spellStart"/>
      <w:r w:rsidR="009368BC">
        <w:rPr>
          <w:color w:val="000000"/>
          <w:sz w:val="16"/>
          <w:szCs w:val="16"/>
        </w:rPr>
        <w:t>i</w:t>
      </w:r>
      <w:proofErr w:type="spellEnd"/>
      <w:r w:rsidR="009368BC">
        <w:rPr>
          <w:color w:val="000000"/>
          <w:sz w:val="16"/>
          <w:szCs w:val="16"/>
        </w:rPr>
        <w:t xml:space="preserve">)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tenant-based assistance waiting lists.  </w:t>
      </w:r>
      <w:r w:rsidR="009368BC">
        <w:rPr>
          <w:bCs/>
          <w:sz w:val="16"/>
          <w:szCs w:val="16"/>
        </w:rPr>
        <w:t xml:space="preserve"> </w:t>
      </w:r>
      <w:hyperlink r:id="rId17" w:anchor="24:4.0.3.1.3.2.5.5" w:history="1">
        <w:r w:rsidR="009368BC" w:rsidRPr="00BE5FE4">
          <w:rPr>
            <w:rStyle w:val="Hyperlink"/>
            <w:bCs/>
            <w:sz w:val="16"/>
            <w:szCs w:val="16"/>
          </w:rPr>
          <w:t>24 CFR §903.7(a)(1)</w:t>
        </w:r>
      </w:hyperlink>
      <w:r w:rsidR="009A23CB">
        <w:rPr>
          <w:sz w:val="16"/>
          <w:szCs w:val="16"/>
        </w:rPr>
        <w:t xml:space="preserve"> and 24 CFR §903.12(b).</w:t>
      </w:r>
      <w:r w:rsidR="00822AF3" w:rsidRPr="00FE77BB">
        <w:rPr>
          <w:sz w:val="16"/>
        </w:rPr>
        <w:t xml:space="preserve"> </w:t>
      </w:r>
      <w:r w:rsidR="009368BC" w:rsidRPr="0014000A">
        <w:rPr>
          <w:color w:val="000000"/>
          <w:sz w:val="16"/>
          <w:szCs w:val="16"/>
        </w:rPr>
        <w:t>Provide a description of the PHA’s strategy for addressing the housing needs of families in the jurisdiction and on the waiting list in the upcoming year.</w:t>
      </w:r>
      <w:r w:rsidR="009A23CB" w:rsidRPr="009A23CB">
        <w:rPr>
          <w:color w:val="000000"/>
          <w:sz w:val="16"/>
          <w:szCs w:val="16"/>
        </w:rPr>
        <w:t xml:space="preserve">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w:t>
      </w:r>
      <w:r w:rsidR="00822AF3">
        <w:rPr>
          <w:color w:val="000000"/>
          <w:sz w:val="16"/>
          <w:szCs w:val="16"/>
        </w:rPr>
        <w:t>ased assistance waiting lists.</w:t>
      </w:r>
      <w:r w:rsidR="009A23CB" w:rsidRPr="00FE77BB">
        <w:rPr>
          <w:sz w:val="16"/>
        </w:rPr>
        <w:t xml:space="preserve"> </w:t>
      </w:r>
      <w:hyperlink r:id="rId18" w:anchor="24:4.0.3.1.3.2.5.5" w:history="1">
        <w:r w:rsidR="009A23CB" w:rsidRPr="00BE5FE4">
          <w:rPr>
            <w:rStyle w:val="Hyperlink"/>
            <w:bCs/>
            <w:sz w:val="16"/>
            <w:szCs w:val="16"/>
          </w:rPr>
          <w:t>24 CFR §903.7(a)(</w:t>
        </w:r>
        <w:r w:rsidR="009A23CB">
          <w:rPr>
            <w:rStyle w:val="Hyperlink"/>
            <w:bCs/>
            <w:sz w:val="16"/>
            <w:szCs w:val="16"/>
          </w:rPr>
          <w:t>2</w:t>
        </w:r>
        <w:r w:rsidR="009A23CB" w:rsidRPr="00BE5FE4">
          <w:rPr>
            <w:rStyle w:val="Hyperlink"/>
            <w:bCs/>
            <w:sz w:val="16"/>
            <w:szCs w:val="16"/>
          </w:rPr>
          <w:t>)</w:t>
        </w:r>
      </w:hyperlink>
      <w:r w:rsidR="009A23CB">
        <w:rPr>
          <w:sz w:val="16"/>
          <w:szCs w:val="16"/>
        </w:rPr>
        <w:t>(ii) and 24 CFR §903.12(b).</w:t>
      </w:r>
    </w:p>
    <w:p w:rsidR="009368BC" w:rsidRDefault="009368BC" w:rsidP="009368BC">
      <w:pPr>
        <w:ind w:left="720"/>
        <w:rPr>
          <w:iCs/>
          <w:sz w:val="16"/>
          <w:szCs w:val="16"/>
        </w:rPr>
      </w:pPr>
    </w:p>
    <w:p w:rsidR="009368BC" w:rsidRDefault="009368BC" w:rsidP="009368BC">
      <w:pPr>
        <w:ind w:left="720"/>
        <w:rPr>
          <w:smallCaps/>
          <w:sz w:val="16"/>
          <w:szCs w:val="16"/>
        </w:rPr>
      </w:pPr>
    </w:p>
    <w:p w:rsidR="009368BC" w:rsidRPr="00822AF3" w:rsidRDefault="002D49BB"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proofErr w:type="spellStart"/>
      <w:r w:rsidR="009368BC" w:rsidRPr="00610DB1">
        <w:rPr>
          <w:b/>
          <w:bCs/>
          <w:sz w:val="16"/>
          <w:szCs w:val="16"/>
        </w:rPr>
        <w:t>Deconcentration</w:t>
      </w:r>
      <w:proofErr w:type="spellEnd"/>
      <w:r w:rsidR="009368BC" w:rsidRPr="00610DB1">
        <w:rPr>
          <w:b/>
          <w:bCs/>
          <w:sz w:val="16"/>
          <w:szCs w:val="16"/>
        </w:rPr>
        <w:t xml:space="preserve"> </w:t>
      </w:r>
      <w:r w:rsidR="00822AF3">
        <w:rPr>
          <w:b/>
          <w:bCs/>
          <w:sz w:val="16"/>
          <w:szCs w:val="16"/>
        </w:rPr>
        <w:t>and Other Policies that Govern Eligibility, Selection and Admissions</w:t>
      </w:r>
      <w:r w:rsidR="009368BC">
        <w:rPr>
          <w:bCs/>
          <w:sz w:val="16"/>
          <w:szCs w:val="16"/>
        </w:rPr>
        <w:t xml:space="preserve">.  Describe the PHA’s admissions policy for </w:t>
      </w:r>
      <w:proofErr w:type="spellStart"/>
      <w:r w:rsidR="009368BC">
        <w:rPr>
          <w:bCs/>
          <w:sz w:val="16"/>
          <w:szCs w:val="16"/>
        </w:rPr>
        <w:t>deconcentration</w:t>
      </w:r>
      <w:proofErr w:type="spellEnd"/>
      <w:r w:rsidR="009368BC">
        <w:rPr>
          <w:bCs/>
          <w:sz w:val="16"/>
          <w:szCs w:val="16"/>
        </w:rPr>
        <w:t xml:space="preserve"> of poverty and income mixing of lower-income families in public housing.  The </w:t>
      </w:r>
      <w:proofErr w:type="spellStart"/>
      <w:r w:rsidR="009368BC">
        <w:rPr>
          <w:bCs/>
          <w:sz w:val="16"/>
          <w:szCs w:val="16"/>
        </w:rPr>
        <w:t>Deconcentration</w:t>
      </w:r>
      <w:proofErr w:type="spellEnd"/>
      <w:r w:rsidR="009368BC">
        <w:rPr>
          <w:bCs/>
          <w:sz w:val="16"/>
          <w:szCs w:val="16"/>
        </w:rPr>
        <w:t xml:space="preserve"> Policy must describe the PHA’s policy for bringing higher income tenants into lower income developments and lower income tenants into higher income developments.  The </w:t>
      </w:r>
      <w:proofErr w:type="spellStart"/>
      <w:r w:rsidR="009368BC">
        <w:rPr>
          <w:bCs/>
          <w:sz w:val="16"/>
          <w:szCs w:val="16"/>
        </w:rPr>
        <w:t>deconce</w:t>
      </w:r>
      <w:r w:rsidR="00620306">
        <w:rPr>
          <w:bCs/>
          <w:sz w:val="16"/>
          <w:szCs w:val="16"/>
        </w:rPr>
        <w:t>n</w:t>
      </w:r>
      <w:r w:rsidR="009368BC">
        <w:rPr>
          <w:bCs/>
          <w:sz w:val="16"/>
          <w:szCs w:val="16"/>
        </w:rPr>
        <w:t>tration</w:t>
      </w:r>
      <w:proofErr w:type="spellEnd"/>
      <w:r w:rsidR="009368BC">
        <w:rPr>
          <w:bCs/>
          <w:sz w:val="16"/>
          <w:szCs w:val="16"/>
        </w:rPr>
        <w:t xml:space="preserve"> requirements apply to general occupancy and family public housing developments.  Refer to 24 CFR §903.2(b)(2) for developments not subject to </w:t>
      </w:r>
      <w:proofErr w:type="spellStart"/>
      <w:r w:rsidR="009368BC">
        <w:rPr>
          <w:bCs/>
          <w:sz w:val="16"/>
          <w:szCs w:val="16"/>
        </w:rPr>
        <w:t>deconcentration</w:t>
      </w:r>
      <w:proofErr w:type="spellEnd"/>
      <w:r w:rsidR="009368BC">
        <w:rPr>
          <w:bCs/>
          <w:sz w:val="16"/>
          <w:szCs w:val="16"/>
        </w:rPr>
        <w:t xml:space="preserve"> of poverty and income mixing requirements. </w:t>
      </w:r>
      <w:hyperlink r:id="rId19" w:anchor="24:4.0.3.1.3.2.5.5" w:history="1">
        <w:r w:rsidR="009368BC" w:rsidRPr="00BE5FE4">
          <w:rPr>
            <w:rStyle w:val="Hyperlink"/>
            <w:bCs/>
            <w:sz w:val="16"/>
            <w:szCs w:val="16"/>
          </w:rPr>
          <w:t>24 CFR §903.7(b)</w:t>
        </w:r>
      </w:hyperlink>
      <w:r w:rsidR="009368BC">
        <w:rPr>
          <w:bCs/>
          <w:sz w:val="16"/>
          <w:szCs w:val="16"/>
        </w:rPr>
        <w:t xml:space="preserve">  Describe the PHA’s procedures for maintain</w:t>
      </w:r>
      <w:r w:rsidR="00187C81">
        <w:rPr>
          <w:bCs/>
          <w:sz w:val="16"/>
          <w:szCs w:val="16"/>
        </w:rPr>
        <w:t>ing</w:t>
      </w:r>
      <w:r w:rsidR="009368BC">
        <w:rPr>
          <w:bCs/>
          <w:sz w:val="16"/>
          <w:szCs w:val="16"/>
        </w:rPr>
        <w:t xml:space="preserve"> waiting lists for admission to public housing and address any site-based waiting lists. </w:t>
      </w:r>
      <w:hyperlink r:id="rId20" w:anchor="24:4.0.3.1.3.2.5.5" w:history="1">
        <w:r w:rsidR="009368BC" w:rsidRPr="00BE5FE4">
          <w:rPr>
            <w:rStyle w:val="Hyperlink"/>
            <w:bCs/>
            <w:sz w:val="16"/>
            <w:szCs w:val="16"/>
          </w:rPr>
          <w:t>24 CFR §903.7(b)</w:t>
        </w:r>
      </w:hyperlink>
      <w:r w:rsidR="00822AF3" w:rsidRPr="00FE77BB">
        <w:rPr>
          <w:sz w:val="16"/>
        </w:rPr>
        <w:t xml:space="preserve"> </w:t>
      </w:r>
      <w:r w:rsidR="009368BC">
        <w:rPr>
          <w:bCs/>
          <w:sz w:val="16"/>
          <w:szCs w:val="16"/>
        </w:rPr>
        <w:t>A statement of</w:t>
      </w:r>
      <w:r w:rsidR="009368BC" w:rsidRPr="00186312">
        <w:rPr>
          <w:bCs/>
          <w:sz w:val="16"/>
          <w:szCs w:val="16"/>
        </w:rPr>
        <w:t xml:space="preserve"> the PHA’s policies that govern resident or tenant eligibility, selection and admission including admission preferences</w:t>
      </w:r>
      <w:r w:rsidR="009368BC">
        <w:rPr>
          <w:bCs/>
          <w:sz w:val="16"/>
          <w:szCs w:val="16"/>
        </w:rPr>
        <w:t xml:space="preserve"> for both public housing and HCV.  </w:t>
      </w:r>
      <w:r w:rsidR="009368BC" w:rsidRPr="00BE5FE4">
        <w:rPr>
          <w:bCs/>
          <w:sz w:val="16"/>
          <w:szCs w:val="16"/>
        </w:rPr>
        <w:t>(</w:t>
      </w:r>
      <w:hyperlink r:id="rId21" w:anchor="24:4.0.3.1.3.2.5.5" w:history="1">
        <w:r w:rsidR="009368BC" w:rsidRPr="00BE5FE4">
          <w:rPr>
            <w:rStyle w:val="Hyperlink"/>
            <w:bCs/>
            <w:sz w:val="16"/>
            <w:szCs w:val="16"/>
          </w:rPr>
          <w:t>24 CFR §903.7(b)</w:t>
        </w:r>
      </w:hyperlink>
      <w:r w:rsidR="00822AF3">
        <w:rPr>
          <w:iCs/>
          <w:sz w:val="16"/>
          <w:szCs w:val="16"/>
        </w:rPr>
        <w:t xml:space="preserve"> </w:t>
      </w:r>
      <w:r w:rsidR="009368BC">
        <w:rPr>
          <w:bCs/>
          <w:sz w:val="16"/>
          <w:szCs w:val="16"/>
        </w:rPr>
        <w:t xml:space="preserve">Describe the unit assignment policies for public housing.  </w:t>
      </w:r>
      <w:hyperlink r:id="rId22" w:anchor="24:4.0.3.1.3.2.5.5" w:history="1">
        <w:r w:rsidR="009368BC" w:rsidRPr="00BE5FE4">
          <w:rPr>
            <w:rStyle w:val="Hyperlink"/>
            <w:bCs/>
            <w:sz w:val="16"/>
            <w:szCs w:val="16"/>
          </w:rPr>
          <w:t>24 CFR §903.7(b)</w:t>
        </w:r>
      </w:hyperlink>
    </w:p>
    <w:p w:rsidR="009368BC" w:rsidRDefault="009368BC" w:rsidP="009368BC">
      <w:pPr>
        <w:ind w:left="720"/>
        <w:rPr>
          <w:smallCaps/>
          <w:sz w:val="16"/>
          <w:szCs w:val="16"/>
        </w:rPr>
      </w:pPr>
    </w:p>
    <w:p w:rsidR="009368BC" w:rsidRPr="0089260E" w:rsidRDefault="002D49BB"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F</w:t>
      </w:r>
      <w:r w:rsidR="009368BC" w:rsidRPr="00186312">
        <w:rPr>
          <w:b/>
          <w:sz w:val="16"/>
          <w:szCs w:val="16"/>
        </w:rPr>
        <w:t xml:space="preserve">inancial Resources.  </w:t>
      </w:r>
      <w:r w:rsidR="009368BC" w:rsidRPr="00186312">
        <w:rPr>
          <w:sz w:val="16"/>
          <w:szCs w:val="16"/>
        </w:rPr>
        <w:t>A statement of financial resources</w:t>
      </w:r>
      <w:r w:rsidR="009368BC">
        <w:rPr>
          <w:sz w:val="16"/>
          <w:szCs w:val="16"/>
        </w:rPr>
        <w:t>,</w:t>
      </w:r>
      <w:r w:rsidR="009368BC" w:rsidRPr="00186312">
        <w:rPr>
          <w:sz w:val="16"/>
          <w:szCs w:val="16"/>
        </w:rPr>
        <w:t xml:space="preserve"> including a listing by general categories, of the PHA’s anticipated resources, such as PHA </w:t>
      </w:r>
      <w:r w:rsidR="009368BC">
        <w:rPr>
          <w:sz w:val="16"/>
          <w:szCs w:val="16"/>
        </w:rPr>
        <w:t>o</w:t>
      </w:r>
      <w:r w:rsidR="009368BC" w:rsidRPr="00186312">
        <w:rPr>
          <w:sz w:val="16"/>
          <w:szCs w:val="16"/>
        </w:rPr>
        <w:t xml:space="preserve">perating, </w:t>
      </w:r>
      <w:r w:rsidR="009368BC">
        <w:rPr>
          <w:sz w:val="16"/>
          <w:szCs w:val="16"/>
        </w:rPr>
        <w:t>c</w:t>
      </w:r>
      <w:r w:rsidR="009368BC"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9368BC">
        <w:rPr>
          <w:sz w:val="16"/>
          <w:szCs w:val="16"/>
        </w:rPr>
        <w:t xml:space="preserve">. </w:t>
      </w:r>
      <w:r w:rsidR="009368BC" w:rsidRPr="00BE5FE4">
        <w:rPr>
          <w:bCs/>
          <w:sz w:val="16"/>
          <w:szCs w:val="16"/>
        </w:rPr>
        <w:t>(</w:t>
      </w:r>
      <w:hyperlink r:id="rId23" w:history="1">
        <w:r w:rsidR="009368BC" w:rsidRPr="00BE5FE4">
          <w:rPr>
            <w:rStyle w:val="Hyperlink"/>
            <w:bCs/>
            <w:sz w:val="16"/>
            <w:szCs w:val="16"/>
          </w:rPr>
          <w:t>24 CFR §903.7(c)</w:t>
        </w:r>
      </w:hyperlink>
    </w:p>
    <w:p w:rsidR="009368BC" w:rsidRDefault="009368BC" w:rsidP="009368BC">
      <w:pPr>
        <w:ind w:left="360"/>
        <w:rPr>
          <w:b/>
          <w:bCs/>
          <w:sz w:val="16"/>
          <w:szCs w:val="16"/>
        </w:rPr>
      </w:pPr>
    </w:p>
    <w:p w:rsidR="009368BC" w:rsidRDefault="002D49BB" w:rsidP="009368BC">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Rent Determination.  </w:t>
      </w:r>
      <w:r w:rsidR="009368BC" w:rsidRPr="00186312">
        <w:rPr>
          <w:color w:val="000000"/>
          <w:sz w:val="16"/>
          <w:szCs w:val="16"/>
        </w:rPr>
        <w:t xml:space="preserve">A statement of the policies of the </w:t>
      </w:r>
      <w:r w:rsidR="009368BC">
        <w:rPr>
          <w:color w:val="000000"/>
          <w:sz w:val="16"/>
          <w:szCs w:val="16"/>
        </w:rPr>
        <w:t>PHA</w:t>
      </w:r>
      <w:r w:rsidR="009368BC" w:rsidRPr="00186312">
        <w:rPr>
          <w:color w:val="000000"/>
          <w:sz w:val="16"/>
          <w:szCs w:val="16"/>
        </w:rPr>
        <w:t xml:space="preserve"> governing rents charged for public housing and HCV dwelling units</w:t>
      </w:r>
      <w:r w:rsidR="009368BC">
        <w:rPr>
          <w:color w:val="000000"/>
          <w:sz w:val="16"/>
          <w:szCs w:val="16"/>
        </w:rPr>
        <w:t>, including applicable public housing flat rents, minimum rents, voucher family rent contributions, and payment standard policies</w:t>
      </w:r>
      <w:r w:rsidR="009368BC" w:rsidRPr="00186312">
        <w:rPr>
          <w:color w:val="000000"/>
          <w:sz w:val="16"/>
          <w:szCs w:val="16"/>
        </w:rPr>
        <w:t>.</w:t>
      </w:r>
      <w:r w:rsidR="009368BC" w:rsidRPr="00186312">
        <w:rPr>
          <w:b/>
          <w:bCs/>
          <w:sz w:val="16"/>
          <w:szCs w:val="16"/>
        </w:rPr>
        <w:t xml:space="preserve"> </w:t>
      </w:r>
      <w:r w:rsidR="009368BC" w:rsidRPr="00BE5FE4">
        <w:rPr>
          <w:bCs/>
          <w:sz w:val="16"/>
          <w:szCs w:val="16"/>
        </w:rPr>
        <w:t>(</w:t>
      </w:r>
      <w:hyperlink r:id="rId24" w:anchor="24:4.0.3.1.3.2.5.5" w:history="1">
        <w:r w:rsidR="009368BC" w:rsidRPr="00BE5FE4">
          <w:rPr>
            <w:rStyle w:val="Hyperlink"/>
            <w:bCs/>
            <w:sz w:val="16"/>
            <w:szCs w:val="16"/>
          </w:rPr>
          <w:t>24 CFR §903.7(d)</w:t>
        </w:r>
      </w:hyperlink>
    </w:p>
    <w:p w:rsidR="009368BC" w:rsidRDefault="009368BC" w:rsidP="009368BC">
      <w:pPr>
        <w:rPr>
          <w:rStyle w:val="ptext-3"/>
          <w:iCs/>
          <w:color w:val="000000"/>
          <w:sz w:val="16"/>
          <w:szCs w:val="16"/>
        </w:rPr>
      </w:pPr>
    </w:p>
    <w:p w:rsidR="009368BC" w:rsidRPr="00FE77BB" w:rsidRDefault="002D49BB" w:rsidP="009368BC">
      <w:pPr>
        <w:tabs>
          <w:tab w:val="left" w:pos="360"/>
          <w:tab w:val="left" w:pos="1260"/>
        </w:tabs>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Homeownership</w:t>
      </w:r>
      <w:r w:rsidR="009368BC">
        <w:rPr>
          <w:b/>
          <w:bCs/>
          <w:sz w:val="16"/>
          <w:szCs w:val="16"/>
        </w:rPr>
        <w:t xml:space="preserve"> Programs</w:t>
      </w:r>
      <w:r w:rsidR="009368BC" w:rsidRPr="00186312">
        <w:rPr>
          <w:sz w:val="16"/>
          <w:szCs w:val="16"/>
        </w:rPr>
        <w:t xml:space="preserve">.  </w:t>
      </w:r>
      <w:r w:rsidR="009368BC" w:rsidRPr="00186312">
        <w:rPr>
          <w:color w:val="000000"/>
          <w:sz w:val="16"/>
          <w:szCs w:val="16"/>
        </w:rPr>
        <w:t>A description of any homeownership</w:t>
      </w:r>
      <w:r w:rsidR="009A23CB">
        <w:rPr>
          <w:color w:val="000000"/>
          <w:sz w:val="16"/>
          <w:szCs w:val="16"/>
        </w:rPr>
        <w:t xml:space="preserve"> </w:t>
      </w:r>
      <w:proofErr w:type="gramStart"/>
      <w:r w:rsidR="009A23CB">
        <w:rPr>
          <w:color w:val="000000"/>
          <w:sz w:val="16"/>
          <w:szCs w:val="16"/>
        </w:rPr>
        <w:t xml:space="preserve">programs </w:t>
      </w:r>
      <w:r w:rsidR="009368BC" w:rsidRPr="00186312">
        <w:rPr>
          <w:color w:val="000000"/>
          <w:sz w:val="16"/>
          <w:szCs w:val="16"/>
        </w:rPr>
        <w:t xml:space="preserve"> (</w:t>
      </w:r>
      <w:proofErr w:type="gramEnd"/>
      <w:r w:rsidR="009368BC" w:rsidRPr="00186312">
        <w:rPr>
          <w:color w:val="000000"/>
          <w:sz w:val="16"/>
          <w:szCs w:val="16"/>
        </w:rPr>
        <w:t xml:space="preserve">including project number and unit count) administered by the agency or for which the </w:t>
      </w:r>
      <w:r w:rsidR="009368BC">
        <w:rPr>
          <w:color w:val="000000"/>
          <w:sz w:val="16"/>
          <w:szCs w:val="16"/>
        </w:rPr>
        <w:t>PHA</w:t>
      </w:r>
      <w:r w:rsidR="009368BC" w:rsidRPr="00186312">
        <w:rPr>
          <w:color w:val="000000"/>
          <w:sz w:val="16"/>
          <w:szCs w:val="16"/>
        </w:rPr>
        <w:t xml:space="preserve"> has applied or will apply for approval.</w:t>
      </w:r>
      <w:r w:rsidR="009368BC">
        <w:rPr>
          <w:color w:val="000000"/>
          <w:sz w:val="16"/>
          <w:szCs w:val="16"/>
        </w:rPr>
        <w:t xml:space="preserve"> </w:t>
      </w:r>
      <w:r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009368BC" w:rsidRPr="00BE5FE4">
        <w:rPr>
          <w:bCs/>
          <w:sz w:val="16"/>
          <w:szCs w:val="16"/>
        </w:rPr>
        <w:t>(</w:t>
      </w:r>
      <w:hyperlink r:id="rId25" w:anchor="24:4.0.3.1.3.2.5.5" w:history="1">
        <w:r w:rsidR="009368BC" w:rsidRPr="00BE5FE4">
          <w:rPr>
            <w:rStyle w:val="Hyperlink"/>
            <w:bCs/>
            <w:sz w:val="16"/>
            <w:szCs w:val="16"/>
          </w:rPr>
          <w:t>24 CFR §903.7(k)</w:t>
        </w:r>
      </w:hyperlink>
      <w:r w:rsidR="009A23CB">
        <w:rPr>
          <w:sz w:val="16"/>
          <w:szCs w:val="16"/>
        </w:rPr>
        <w:t xml:space="preserve"> and 24 CFR §903.12(b).</w:t>
      </w:r>
    </w:p>
    <w:p w:rsidR="003003C6" w:rsidRDefault="003003C6" w:rsidP="00FE77BB">
      <w:pPr>
        <w:tabs>
          <w:tab w:val="left" w:pos="360"/>
          <w:tab w:val="left" w:pos="1260"/>
        </w:tabs>
        <w:ind w:left="720"/>
        <w:rPr>
          <w:sz w:val="16"/>
          <w:szCs w:val="16"/>
        </w:rPr>
      </w:pPr>
    </w:p>
    <w:p w:rsidR="003003C6" w:rsidRDefault="002D49BB"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3003C6"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3003C6">
        <w:rPr>
          <w:smallCaps/>
          <w:sz w:val="16"/>
          <w:szCs w:val="16"/>
        </w:rPr>
        <w:t xml:space="preserve">  </w:t>
      </w:r>
      <w:r w:rsidR="003003C6">
        <w:rPr>
          <w:b/>
          <w:bCs/>
          <w:sz w:val="16"/>
          <w:szCs w:val="16"/>
        </w:rPr>
        <w:t xml:space="preserve">Safety and Crime Prevention (VAWA).  </w:t>
      </w:r>
      <w:r w:rsidR="003003C6" w:rsidRPr="00186312">
        <w:rPr>
          <w:iCs/>
          <w:sz w:val="16"/>
          <w:szCs w:val="16"/>
        </w:rPr>
        <w:t xml:space="preserve">A description of:  </w:t>
      </w:r>
      <w:r w:rsidR="003003C6" w:rsidRPr="00186312">
        <w:rPr>
          <w:b/>
          <w:bCs/>
          <w:iCs/>
          <w:sz w:val="16"/>
          <w:szCs w:val="16"/>
        </w:rPr>
        <w:t>1)</w:t>
      </w:r>
      <w:r w:rsidR="003003C6"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3003C6" w:rsidRPr="00186312">
        <w:rPr>
          <w:b/>
          <w:bCs/>
          <w:iCs/>
          <w:sz w:val="16"/>
          <w:szCs w:val="16"/>
        </w:rPr>
        <w:t>2)</w:t>
      </w:r>
      <w:r w:rsidR="003003C6" w:rsidRPr="00186312">
        <w:rPr>
          <w:iCs/>
          <w:sz w:val="16"/>
          <w:szCs w:val="16"/>
        </w:rPr>
        <w:t xml:space="preserve"> Any activities, services, or programs provided or offered by a </w:t>
      </w:r>
      <w:r w:rsidR="003003C6">
        <w:rPr>
          <w:iCs/>
          <w:sz w:val="16"/>
          <w:szCs w:val="16"/>
        </w:rPr>
        <w:t>PHA</w:t>
      </w:r>
      <w:r w:rsidR="003003C6" w:rsidRPr="00186312">
        <w:rPr>
          <w:iCs/>
          <w:sz w:val="16"/>
          <w:szCs w:val="16"/>
        </w:rPr>
        <w:t xml:space="preserve"> that helps child and adult victims of domestic violence, dating violence, sexual assault, or stalking, to obtain or maintain housing; and </w:t>
      </w:r>
      <w:r w:rsidR="003003C6" w:rsidRPr="00186312">
        <w:rPr>
          <w:b/>
          <w:bCs/>
          <w:iCs/>
          <w:sz w:val="16"/>
          <w:szCs w:val="16"/>
        </w:rPr>
        <w:t>3)</w:t>
      </w:r>
      <w:r w:rsidR="003003C6"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3003C6">
        <w:rPr>
          <w:iCs/>
          <w:sz w:val="16"/>
          <w:szCs w:val="16"/>
        </w:rPr>
        <w:t xml:space="preserve"> </w:t>
      </w:r>
      <w:r w:rsidR="003003C6" w:rsidRPr="00BE5FE4">
        <w:rPr>
          <w:bCs/>
          <w:sz w:val="16"/>
          <w:szCs w:val="16"/>
        </w:rPr>
        <w:t>(</w:t>
      </w:r>
      <w:hyperlink r:id="rId26" w:anchor="24:4.0.3.1.3.2.5.5" w:history="1">
        <w:r w:rsidR="003003C6" w:rsidRPr="00BE5FE4">
          <w:rPr>
            <w:rStyle w:val="Hyperlink"/>
            <w:bCs/>
            <w:sz w:val="16"/>
            <w:szCs w:val="16"/>
          </w:rPr>
          <w:t>24 CFR §903.7(m)(5)</w:t>
        </w:r>
      </w:hyperlink>
      <w:r w:rsidR="003003C6" w:rsidRPr="00BE5FE4">
        <w:rPr>
          <w:bCs/>
          <w:sz w:val="16"/>
          <w:szCs w:val="16"/>
        </w:rPr>
        <w:t>)</w:t>
      </w:r>
      <w:r w:rsidR="003003C6">
        <w:rPr>
          <w:bCs/>
          <w:sz w:val="16"/>
          <w:szCs w:val="16"/>
        </w:rPr>
        <w:t xml:space="preserve">   </w:t>
      </w:r>
      <w:r w:rsidR="003003C6">
        <w:rPr>
          <w:b/>
          <w:bCs/>
          <w:sz w:val="16"/>
          <w:szCs w:val="16"/>
        </w:rPr>
        <w:t xml:space="preserve"> </w:t>
      </w:r>
    </w:p>
    <w:p w:rsidR="003003C6" w:rsidRDefault="003003C6" w:rsidP="00486BAA">
      <w:pPr>
        <w:ind w:left="720"/>
        <w:rPr>
          <w:sz w:val="16"/>
          <w:szCs w:val="16"/>
        </w:rPr>
      </w:pPr>
    </w:p>
    <w:p w:rsidR="003003C6" w:rsidRDefault="00B22218" w:rsidP="003003C6">
      <w:pPr>
        <w:ind w:left="720"/>
        <w:rPr>
          <w:i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3003C6">
        <w:rPr>
          <w:smallCaps/>
          <w:sz w:val="16"/>
          <w:szCs w:val="16"/>
        </w:rPr>
        <w:t xml:space="preserve">  </w:t>
      </w:r>
      <w:r w:rsidR="003003C6">
        <w:rPr>
          <w:b/>
          <w:bCs/>
          <w:sz w:val="16"/>
          <w:szCs w:val="16"/>
        </w:rPr>
        <w:t xml:space="preserve">Pet Policy.   </w:t>
      </w:r>
      <w:r w:rsidR="003003C6">
        <w:rPr>
          <w:color w:val="000000"/>
          <w:sz w:val="16"/>
          <w:szCs w:val="16"/>
        </w:rPr>
        <w:t xml:space="preserve">Describe the PHA’s </w:t>
      </w:r>
      <w:r w:rsidR="003003C6" w:rsidRPr="00186312">
        <w:rPr>
          <w:color w:val="000000"/>
          <w:sz w:val="16"/>
          <w:szCs w:val="16"/>
        </w:rPr>
        <w:t>policies and requirements pertaining to the ownership of pets in public housing.</w:t>
      </w:r>
      <w:r w:rsidR="003003C6">
        <w:rPr>
          <w:color w:val="000000"/>
          <w:sz w:val="16"/>
          <w:szCs w:val="16"/>
        </w:rPr>
        <w:t xml:space="preserve"> </w:t>
      </w:r>
      <w:r w:rsidR="003003C6">
        <w:rPr>
          <w:bCs/>
          <w:sz w:val="16"/>
          <w:szCs w:val="16"/>
        </w:rPr>
        <w:t>(</w:t>
      </w:r>
      <w:hyperlink r:id="rId27" w:anchor="24:4.0.3.1.3.2.5.5" w:history="1">
        <w:r w:rsidR="003003C6" w:rsidRPr="00273E0A">
          <w:rPr>
            <w:rStyle w:val="Hyperlink"/>
            <w:bCs/>
            <w:sz w:val="16"/>
            <w:szCs w:val="16"/>
          </w:rPr>
          <w:t>24 CFR §903.7(n)</w:t>
        </w:r>
      </w:hyperlink>
      <w:r w:rsidR="003003C6">
        <w:rPr>
          <w:bCs/>
          <w:sz w:val="16"/>
          <w:szCs w:val="16"/>
        </w:rPr>
        <w:t xml:space="preserve">)   </w:t>
      </w:r>
      <w:r w:rsidR="003003C6">
        <w:rPr>
          <w:b/>
          <w:bCs/>
          <w:sz w:val="16"/>
          <w:szCs w:val="16"/>
        </w:rPr>
        <w:t xml:space="preserve"> </w:t>
      </w:r>
      <w:r w:rsidR="003003C6" w:rsidRPr="00BE5FE4">
        <w:rPr>
          <w:bCs/>
          <w:sz w:val="16"/>
          <w:szCs w:val="16"/>
        </w:rPr>
        <w:t xml:space="preserve">   </w:t>
      </w:r>
    </w:p>
    <w:p w:rsidR="009368BC" w:rsidRDefault="009368BC" w:rsidP="009368BC">
      <w:pPr>
        <w:rPr>
          <w:iCs/>
          <w:sz w:val="16"/>
          <w:szCs w:val="16"/>
        </w:rPr>
      </w:pPr>
    </w:p>
    <w:p w:rsidR="009368BC" w:rsidRDefault="00B22218" w:rsidP="009368BC">
      <w:pPr>
        <w:ind w:left="720"/>
        <w:rPr>
          <w:i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9368BC">
        <w:rPr>
          <w:smallCaps/>
          <w:sz w:val="16"/>
          <w:szCs w:val="16"/>
        </w:rPr>
        <w:t xml:space="preserve">  </w:t>
      </w:r>
      <w:r w:rsidR="009368BC">
        <w:rPr>
          <w:b/>
          <w:bCs/>
          <w:sz w:val="16"/>
          <w:szCs w:val="16"/>
        </w:rPr>
        <w:t xml:space="preserve">Substantial Deviation.  </w:t>
      </w:r>
      <w:r w:rsidR="009368BC" w:rsidRPr="00F621D9">
        <w:rPr>
          <w:bCs/>
          <w:sz w:val="16"/>
          <w:szCs w:val="16"/>
        </w:rPr>
        <w:t>PHA must provide its</w:t>
      </w:r>
      <w:r w:rsidR="009368BC">
        <w:rPr>
          <w:bCs/>
          <w:sz w:val="16"/>
          <w:szCs w:val="16"/>
        </w:rPr>
        <w:t xml:space="preserve"> </w:t>
      </w:r>
      <w:r w:rsidR="009368BC" w:rsidRPr="00F621D9">
        <w:rPr>
          <w:bCs/>
          <w:sz w:val="16"/>
          <w:szCs w:val="16"/>
        </w:rPr>
        <w:t xml:space="preserve">criteria for determining a </w:t>
      </w:r>
      <w:r w:rsidR="009368BC">
        <w:rPr>
          <w:bCs/>
          <w:sz w:val="16"/>
          <w:szCs w:val="16"/>
        </w:rPr>
        <w:t>“</w:t>
      </w:r>
      <w:r w:rsidR="009368BC" w:rsidRPr="00F621D9">
        <w:rPr>
          <w:bCs/>
          <w:sz w:val="16"/>
          <w:szCs w:val="16"/>
        </w:rPr>
        <w:t>substantial deviation</w:t>
      </w:r>
      <w:r w:rsidR="009368BC">
        <w:rPr>
          <w:bCs/>
          <w:sz w:val="16"/>
          <w:szCs w:val="16"/>
        </w:rPr>
        <w:t>”</w:t>
      </w:r>
      <w:r w:rsidR="009368BC" w:rsidRPr="00F621D9">
        <w:rPr>
          <w:bCs/>
          <w:sz w:val="16"/>
          <w:szCs w:val="16"/>
        </w:rPr>
        <w:t xml:space="preserve"> </w:t>
      </w:r>
      <w:r w:rsidR="009368BC">
        <w:rPr>
          <w:bCs/>
          <w:sz w:val="16"/>
          <w:szCs w:val="16"/>
        </w:rPr>
        <w:t>to</w:t>
      </w:r>
      <w:r w:rsidR="009368BC" w:rsidRPr="00F621D9">
        <w:rPr>
          <w:bCs/>
          <w:sz w:val="16"/>
          <w:szCs w:val="16"/>
        </w:rPr>
        <w:t xml:space="preserve"> its 5-Year Plan.  </w:t>
      </w:r>
      <w:r w:rsidR="009368BC" w:rsidRPr="00BE5FE4">
        <w:rPr>
          <w:bCs/>
          <w:sz w:val="16"/>
          <w:szCs w:val="16"/>
        </w:rPr>
        <w:t>(</w:t>
      </w:r>
      <w:hyperlink r:id="rId28" w:anchor="24:4.0.3.1.3.2.5.5" w:history="1">
        <w:r w:rsidR="009368BC">
          <w:rPr>
            <w:rStyle w:val="Hyperlink"/>
            <w:bCs/>
            <w:sz w:val="16"/>
            <w:szCs w:val="16"/>
          </w:rPr>
          <w:t>24 CFR §903.7(r)(2</w:t>
        </w:r>
        <w:r w:rsidR="009368BC" w:rsidRPr="00BE5FE4">
          <w:rPr>
            <w:rStyle w:val="Hyperlink"/>
            <w:bCs/>
            <w:sz w:val="16"/>
            <w:szCs w:val="16"/>
          </w:rPr>
          <w:t>)(</w:t>
        </w:r>
        <w:proofErr w:type="spellStart"/>
        <w:r w:rsidR="009368BC" w:rsidRPr="00BE5FE4">
          <w:rPr>
            <w:rStyle w:val="Hyperlink"/>
            <w:bCs/>
            <w:sz w:val="16"/>
            <w:szCs w:val="16"/>
          </w:rPr>
          <w:t>i</w:t>
        </w:r>
        <w:proofErr w:type="spellEnd"/>
        <w:r w:rsidR="009368BC" w:rsidRPr="00BE5FE4">
          <w:rPr>
            <w:rStyle w:val="Hyperlink"/>
            <w:bCs/>
            <w:sz w:val="16"/>
            <w:szCs w:val="16"/>
          </w:rPr>
          <w:t>)</w:t>
        </w:r>
      </w:hyperlink>
      <w:r w:rsidR="009368BC" w:rsidRPr="00BE5FE4">
        <w:rPr>
          <w:bCs/>
          <w:sz w:val="16"/>
          <w:szCs w:val="16"/>
        </w:rPr>
        <w:t xml:space="preserve">   </w:t>
      </w:r>
    </w:p>
    <w:p w:rsidR="009368BC" w:rsidRDefault="009368BC" w:rsidP="009368BC">
      <w:pPr>
        <w:ind w:left="720"/>
        <w:rPr>
          <w:iCs/>
          <w:sz w:val="16"/>
          <w:szCs w:val="16"/>
        </w:rPr>
      </w:pPr>
    </w:p>
    <w:bookmarkStart w:id="1" w:name="_GoBack"/>
    <w:p w:rsidR="009368BC" w:rsidRPr="007C569F" w:rsidRDefault="00B22218" w:rsidP="009368BC">
      <w:pPr>
        <w:ind w:left="720"/>
        <w:rPr>
          <w:i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bookmarkEnd w:id="1"/>
      <w:r w:rsidR="009368BC">
        <w:rPr>
          <w:smallCaps/>
          <w:sz w:val="16"/>
          <w:szCs w:val="16"/>
        </w:rPr>
        <w:t xml:space="preserve">  </w:t>
      </w:r>
      <w:r w:rsidR="009368BC" w:rsidRPr="00D44FEF">
        <w:rPr>
          <w:b/>
          <w:bCs/>
          <w:sz w:val="16"/>
          <w:szCs w:val="16"/>
        </w:rPr>
        <w:t>Significant Amendment/Modification</w:t>
      </w:r>
      <w:r w:rsidR="009368BC" w:rsidRPr="00F621D9">
        <w:rPr>
          <w:bCs/>
          <w:sz w:val="16"/>
          <w:szCs w:val="16"/>
        </w:rPr>
        <w:t xml:space="preserve">. </w:t>
      </w:r>
      <w:r w:rsidR="009368BC">
        <w:rPr>
          <w:bCs/>
          <w:sz w:val="16"/>
          <w:szCs w:val="16"/>
        </w:rPr>
        <w:t xml:space="preserve"> </w:t>
      </w:r>
      <w:r w:rsidR="009368BC" w:rsidRPr="00F621D9">
        <w:rPr>
          <w:bCs/>
          <w:sz w:val="16"/>
          <w:szCs w:val="16"/>
        </w:rPr>
        <w:t xml:space="preserve">PHA must provide its criteria for determining a “Significant Amendment or Modification” to its </w:t>
      </w:r>
      <w:r w:rsidR="009368BC">
        <w:rPr>
          <w:bCs/>
          <w:sz w:val="16"/>
          <w:szCs w:val="16"/>
        </w:rPr>
        <w:t xml:space="preserve">5-Year and </w:t>
      </w:r>
      <w:r w:rsidR="009368BC" w:rsidRPr="00F621D9">
        <w:rPr>
          <w:bCs/>
          <w:sz w:val="16"/>
          <w:szCs w:val="16"/>
        </w:rPr>
        <w:t xml:space="preserve">Annual Plan.  </w:t>
      </w:r>
      <w:r w:rsidR="009368BC">
        <w:rPr>
          <w:bCs/>
          <w:sz w:val="16"/>
          <w:szCs w:val="16"/>
        </w:rPr>
        <w:t xml:space="preserve">Should the PHA fail to define ‘significant amendment/modification’, </w:t>
      </w:r>
      <w:r w:rsidR="009368BC" w:rsidRPr="00A53FF3">
        <w:rPr>
          <w:bCs/>
          <w:sz w:val="16"/>
          <w:szCs w:val="16"/>
        </w:rPr>
        <w:t xml:space="preserve">HUD will consider the following to be ‘significant amendments or modifications’:  a) changes to rent or admissions policies or organization of the waiting list; b) additions of non-emergency </w:t>
      </w:r>
      <w:r w:rsidR="00C740A8">
        <w:rPr>
          <w:bCs/>
          <w:sz w:val="16"/>
          <w:szCs w:val="16"/>
        </w:rPr>
        <w:t xml:space="preserve">public housing CFP </w:t>
      </w:r>
      <w:r w:rsidR="009368BC" w:rsidRPr="00A53FF3">
        <w:rPr>
          <w:bCs/>
          <w:sz w:val="16"/>
          <w:szCs w:val="16"/>
        </w:rPr>
        <w:t xml:space="preserve">work items (items not included in the current </w:t>
      </w:r>
      <w:r w:rsidR="00C740A8">
        <w:rPr>
          <w:bCs/>
          <w:sz w:val="16"/>
          <w:szCs w:val="16"/>
        </w:rPr>
        <w:t xml:space="preserve">CFP </w:t>
      </w:r>
      <w:r w:rsidR="009368BC" w:rsidRPr="00A53FF3">
        <w:rPr>
          <w:bCs/>
          <w:sz w:val="16"/>
          <w:szCs w:val="16"/>
        </w:rPr>
        <w:t xml:space="preserve">Annual Statement or </w:t>
      </w:r>
      <w:r w:rsidR="00C740A8">
        <w:rPr>
          <w:bCs/>
          <w:sz w:val="16"/>
          <w:szCs w:val="16"/>
        </w:rPr>
        <w:t xml:space="preserve">CFP </w:t>
      </w:r>
      <w:r w:rsidR="0015270F">
        <w:rPr>
          <w:bCs/>
          <w:sz w:val="16"/>
          <w:szCs w:val="16"/>
        </w:rPr>
        <w:t>5-Year Action Plan)</w:t>
      </w:r>
      <w:r w:rsidR="009368BC" w:rsidRPr="00A53FF3">
        <w:rPr>
          <w:bCs/>
          <w:sz w:val="16"/>
          <w:szCs w:val="16"/>
        </w:rPr>
        <w:t xml:space="preserve">; or c) any change </w:t>
      </w:r>
      <w:proofErr w:type="gramStart"/>
      <w:r w:rsidR="009368BC" w:rsidRPr="00A53FF3">
        <w:rPr>
          <w:bCs/>
          <w:sz w:val="16"/>
          <w:szCs w:val="16"/>
        </w:rPr>
        <w:t>with regard to</w:t>
      </w:r>
      <w:proofErr w:type="gramEnd"/>
      <w:r w:rsidR="009368BC" w:rsidRPr="00A53FF3">
        <w:rPr>
          <w:bCs/>
          <w:sz w:val="16"/>
          <w:szCs w:val="16"/>
        </w:rPr>
        <w:t xml:space="preserve"> demolition or disposition, designation, homeownership programs or conversion activities.</w:t>
      </w:r>
      <w:r w:rsidR="009368BC">
        <w:rPr>
          <w:bCs/>
          <w:sz w:val="16"/>
          <w:szCs w:val="16"/>
        </w:rPr>
        <w:t xml:space="preserve">  </w:t>
      </w:r>
      <w:r w:rsidR="009368BC" w:rsidRPr="00A53FF3">
        <w:rPr>
          <w:bCs/>
          <w:sz w:val="16"/>
          <w:szCs w:val="16"/>
        </w:rPr>
        <w:t>See guidance</w:t>
      </w:r>
      <w:r w:rsidR="009368BC">
        <w:rPr>
          <w:bCs/>
          <w:sz w:val="16"/>
          <w:szCs w:val="16"/>
        </w:rPr>
        <w:t xml:space="preserve"> on HUD’s website at:</w:t>
      </w:r>
      <w:r w:rsidR="009368BC" w:rsidRPr="00A53FF3">
        <w:rPr>
          <w:bCs/>
          <w:sz w:val="16"/>
          <w:szCs w:val="16"/>
        </w:rPr>
        <w:t xml:space="preserve"> </w:t>
      </w:r>
      <w:hyperlink r:id="rId29" w:history="1">
        <w:r w:rsidR="009368BC" w:rsidRPr="00A53FF3">
          <w:rPr>
            <w:rStyle w:val="Hyperlink"/>
            <w:bCs/>
            <w:sz w:val="16"/>
            <w:szCs w:val="16"/>
          </w:rPr>
          <w:t xml:space="preserve">Notice </w:t>
        </w:r>
        <w:r w:rsidR="009368BC">
          <w:rPr>
            <w:rStyle w:val="Hyperlink"/>
            <w:bCs/>
            <w:sz w:val="16"/>
            <w:szCs w:val="16"/>
          </w:rPr>
          <w:t xml:space="preserve">PIH </w:t>
        </w:r>
        <w:r w:rsidR="009368BC" w:rsidRPr="00A53FF3">
          <w:rPr>
            <w:rStyle w:val="Hyperlink"/>
            <w:bCs/>
            <w:sz w:val="16"/>
            <w:szCs w:val="16"/>
          </w:rPr>
          <w:t>1999-51</w:t>
        </w:r>
      </w:hyperlink>
      <w:r w:rsidR="009368BC">
        <w:rPr>
          <w:bCs/>
          <w:sz w:val="16"/>
          <w:szCs w:val="16"/>
        </w:rPr>
        <w:t xml:space="preserve">. </w:t>
      </w:r>
      <w:r w:rsidR="009368BC" w:rsidRPr="00BE5FE4">
        <w:rPr>
          <w:bCs/>
          <w:sz w:val="16"/>
          <w:szCs w:val="16"/>
        </w:rPr>
        <w:t>(</w:t>
      </w:r>
      <w:hyperlink r:id="rId30" w:anchor="24:4.0.3.1.3.2.5.5" w:history="1">
        <w:r w:rsidR="009368BC">
          <w:rPr>
            <w:rStyle w:val="Hyperlink"/>
            <w:bCs/>
            <w:sz w:val="16"/>
            <w:szCs w:val="16"/>
          </w:rPr>
          <w:t>24 CFR §903.7(r)(2</w:t>
        </w:r>
        <w:r w:rsidR="009368BC" w:rsidRPr="00BE5FE4">
          <w:rPr>
            <w:rStyle w:val="Hyperlink"/>
            <w:bCs/>
            <w:sz w:val="16"/>
            <w:szCs w:val="16"/>
          </w:rPr>
          <w:t>)(ii)</w:t>
        </w:r>
      </w:hyperlink>
      <w:r w:rsidR="009368BC" w:rsidRPr="00BE5FE4">
        <w:rPr>
          <w:bCs/>
          <w:sz w:val="16"/>
          <w:szCs w:val="16"/>
        </w:rPr>
        <w:t xml:space="preserve">  </w:t>
      </w:r>
    </w:p>
    <w:p w:rsidR="009368BC" w:rsidRDefault="009368BC" w:rsidP="009368BC">
      <w:pPr>
        <w:tabs>
          <w:tab w:val="left" w:pos="360"/>
          <w:tab w:val="left" w:pos="720"/>
        </w:tabs>
        <w:rPr>
          <w:b/>
          <w:bCs/>
          <w:sz w:val="16"/>
          <w:szCs w:val="16"/>
        </w:rPr>
      </w:pPr>
    </w:p>
    <w:p w:rsidR="009368BC" w:rsidRDefault="009368BC" w:rsidP="009368BC">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rsidR="009368BC" w:rsidRDefault="009368BC" w:rsidP="009368BC">
      <w:pPr>
        <w:tabs>
          <w:tab w:val="left" w:pos="360"/>
          <w:tab w:val="left" w:pos="720"/>
        </w:tabs>
        <w:rPr>
          <w:bCs/>
          <w:sz w:val="16"/>
          <w:szCs w:val="16"/>
        </w:rPr>
      </w:pPr>
    </w:p>
    <w:p w:rsidR="009368BC" w:rsidRPr="00B774DD" w:rsidRDefault="009368BC" w:rsidP="009368BC">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sidR="001F04B2">
        <w:rPr>
          <w:sz w:val="16"/>
          <w:szCs w:val="16"/>
        </w:rPr>
        <w:t xml:space="preserve"> submit a </w:t>
      </w:r>
      <w:proofErr w:type="spellStart"/>
      <w:r w:rsidR="001F04B2">
        <w:rPr>
          <w:sz w:val="16"/>
          <w:szCs w:val="16"/>
        </w:rPr>
        <w:t>Deconcentration</w:t>
      </w:r>
      <w:proofErr w:type="spellEnd"/>
      <w:r w:rsidR="001F04B2">
        <w:rPr>
          <w:sz w:val="16"/>
          <w:szCs w:val="16"/>
        </w:rPr>
        <w:t xml:space="preserve"> </w:t>
      </w:r>
      <w:r w:rsidR="005E60C5">
        <w:rPr>
          <w:sz w:val="16"/>
          <w:szCs w:val="16"/>
        </w:rPr>
        <w:t>Policy</w:t>
      </w:r>
      <w:r w:rsidRPr="00B774DD">
        <w:rPr>
          <w:sz w:val="16"/>
          <w:szCs w:val="16"/>
        </w:rPr>
        <w:t xml:space="preserve"> for Field Office review.  For additional guidance on what a PHA must do to deconcentrate poverty in its development and comply with fair housing requirements, see </w:t>
      </w:r>
      <w:hyperlink r:id="rId31"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2" w:anchor="24:4.0.3.1.3.2.5.9" w:history="1">
        <w:r>
          <w:rPr>
            <w:rStyle w:val="Hyperlink"/>
            <w:bCs/>
            <w:sz w:val="16"/>
            <w:szCs w:val="16"/>
          </w:rPr>
          <w:t>24 CFR §903.23(b)</w:t>
        </w:r>
      </w:hyperlink>
      <w:r>
        <w:rPr>
          <w:bCs/>
          <w:sz w:val="16"/>
          <w:szCs w:val="16"/>
        </w:rPr>
        <w:t>)</w:t>
      </w:r>
    </w:p>
    <w:p w:rsidR="009368BC" w:rsidRPr="007C569F" w:rsidRDefault="009368BC" w:rsidP="009368BC">
      <w:pPr>
        <w:pStyle w:val="ListParagraph"/>
        <w:rPr>
          <w:b/>
          <w:bCs/>
          <w:sz w:val="16"/>
          <w:szCs w:val="16"/>
        </w:rPr>
      </w:pPr>
    </w:p>
    <w:p w:rsidR="009368BC" w:rsidRPr="009708CB" w:rsidRDefault="009368BC" w:rsidP="009368BC">
      <w:pPr>
        <w:ind w:left="720" w:hanging="540"/>
        <w:rPr>
          <w:b/>
          <w:bCs/>
          <w:sz w:val="16"/>
          <w:szCs w:val="16"/>
        </w:rPr>
      </w:pPr>
      <w:proofErr w:type="gramStart"/>
      <w:r>
        <w:rPr>
          <w:b/>
          <w:bCs/>
          <w:sz w:val="16"/>
          <w:szCs w:val="16"/>
        </w:rPr>
        <w:lastRenderedPageBreak/>
        <w:t xml:space="preserve">B.2  </w:t>
      </w:r>
      <w:r>
        <w:rPr>
          <w:b/>
          <w:bCs/>
          <w:sz w:val="16"/>
          <w:szCs w:val="16"/>
        </w:rPr>
        <w:tab/>
      </w:r>
      <w:proofErr w:type="gramEnd"/>
      <w:r>
        <w:rPr>
          <w:b/>
          <w:bCs/>
          <w:sz w:val="16"/>
          <w:szCs w:val="16"/>
        </w:rPr>
        <w:t xml:space="preserve">New Activities.  </w:t>
      </w:r>
      <w:r>
        <w:rPr>
          <w:bCs/>
          <w:sz w:val="16"/>
          <w:szCs w:val="16"/>
        </w:rPr>
        <w:t xml:space="preserve">If the PHA intends to undertake any new activities related to these elements </w:t>
      </w:r>
      <w:r w:rsidR="008733E1">
        <w:rPr>
          <w:bCs/>
          <w:sz w:val="16"/>
          <w:szCs w:val="16"/>
        </w:rPr>
        <w:t xml:space="preserve">or discretionary policies </w:t>
      </w:r>
      <w:r>
        <w:rPr>
          <w:bCs/>
          <w:sz w:val="16"/>
          <w:szCs w:val="16"/>
        </w:rPr>
        <w:t>in the current Fiscal Year, mark “yes” for those elements, and describe the activities to be undertaken in the space provided. If the PHA does not plan to undertake these activities, mark “no.”</w:t>
      </w:r>
    </w:p>
    <w:p w:rsidR="009368BC" w:rsidRDefault="009368BC" w:rsidP="009368BC">
      <w:pPr>
        <w:rPr>
          <w:sz w:val="16"/>
          <w:szCs w:val="16"/>
        </w:rPr>
      </w:pPr>
    </w:p>
    <w:p w:rsidR="009368BC" w:rsidRDefault="002D49BB"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Hope VI</w:t>
      </w:r>
      <w:r w:rsidR="009368BC">
        <w:rPr>
          <w:b/>
          <w:bCs/>
          <w:sz w:val="16"/>
          <w:szCs w:val="16"/>
        </w:rPr>
        <w:t xml:space="preserve">.  </w:t>
      </w:r>
      <w:r w:rsidR="009368BC" w:rsidRPr="00FE77BB">
        <w:rPr>
          <w:sz w:val="16"/>
        </w:rPr>
        <w:t>1</w:t>
      </w:r>
      <w:r w:rsidR="009368BC" w:rsidRPr="003003C6">
        <w:rPr>
          <w:rStyle w:val="enum"/>
          <w:color w:val="000000"/>
          <w:sz w:val="16"/>
          <w:szCs w:val="16"/>
        </w:rPr>
        <w:t>)</w:t>
      </w:r>
      <w:r w:rsidR="009368BC" w:rsidRPr="003003C6">
        <w:rPr>
          <w:sz w:val="16"/>
          <w:szCs w:val="16"/>
        </w:rPr>
        <w:t xml:space="preserve"> A</w:t>
      </w:r>
      <w:r w:rsidR="009368BC" w:rsidRPr="003003C6">
        <w:rPr>
          <w:rStyle w:val="ptext-3"/>
          <w:color w:val="000000"/>
          <w:sz w:val="16"/>
          <w:szCs w:val="16"/>
        </w:rPr>
        <w:t xml:space="preserve"> description</w:t>
      </w:r>
      <w:r w:rsidR="009368BC" w:rsidRPr="00186312">
        <w:rPr>
          <w:rStyle w:val="ptext-3"/>
          <w:color w:val="000000"/>
          <w:sz w:val="16"/>
          <w:szCs w:val="16"/>
        </w:rPr>
        <w:t xml:space="preserve"> of any</w:t>
      </w:r>
      <w:r w:rsidR="009368BC" w:rsidRPr="00186312">
        <w:rPr>
          <w:b/>
          <w:bCs/>
          <w:color w:val="000000"/>
          <w:sz w:val="16"/>
          <w:szCs w:val="16"/>
        </w:rPr>
        <w:t xml:space="preserve"> </w:t>
      </w:r>
      <w:r w:rsidR="009368BC" w:rsidRPr="00186312">
        <w:rPr>
          <w:rStyle w:val="ptext-3"/>
          <w:color w:val="000000"/>
          <w:sz w:val="16"/>
          <w:szCs w:val="16"/>
        </w:rPr>
        <w:t xml:space="preserve">housing (including project </w:t>
      </w:r>
      <w:r w:rsidR="008733E1">
        <w:rPr>
          <w:rStyle w:val="ptext-3"/>
          <w:color w:val="000000"/>
          <w:sz w:val="16"/>
          <w:szCs w:val="16"/>
        </w:rPr>
        <w:t xml:space="preserve">name, </w:t>
      </w:r>
      <w:r w:rsidR="009368BC" w:rsidRPr="00186312">
        <w:rPr>
          <w:rStyle w:val="ptext-3"/>
          <w:color w:val="000000"/>
          <w:sz w:val="16"/>
          <w:szCs w:val="16"/>
        </w:rPr>
        <w:t xml:space="preserve">number (if known) and unit count) for which the PHA will apply for HOPE VI;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 </w:t>
      </w:r>
      <w:r w:rsidR="009368BC">
        <w:rPr>
          <w:rStyle w:val="ptext-3"/>
          <w:color w:val="000000"/>
          <w:sz w:val="16"/>
          <w:szCs w:val="16"/>
        </w:rPr>
        <w:t xml:space="preserve"> </w:t>
      </w:r>
      <w:r w:rsidR="009368BC" w:rsidRPr="00186312">
        <w:rPr>
          <w:rStyle w:val="ptext-3"/>
          <w:color w:val="000000"/>
          <w:sz w:val="16"/>
          <w:szCs w:val="16"/>
        </w:rPr>
        <w:t>The application and approval process for Hope VI</w:t>
      </w:r>
      <w:r w:rsidR="009368BC">
        <w:rPr>
          <w:rStyle w:val="ptext-3"/>
          <w:color w:val="000000"/>
          <w:sz w:val="16"/>
          <w:szCs w:val="16"/>
        </w:rPr>
        <w:t xml:space="preserve"> </w:t>
      </w:r>
      <w:r w:rsidR="009368BC" w:rsidRPr="00186312">
        <w:rPr>
          <w:rStyle w:val="ptext-3"/>
          <w:color w:val="000000"/>
          <w:sz w:val="16"/>
          <w:szCs w:val="16"/>
        </w:rPr>
        <w:t xml:space="preserve">is a separate process. See guidance on HUD’s website at: </w:t>
      </w:r>
      <w:hyperlink r:id="rId33" w:history="1">
        <w:r w:rsidR="009368BC" w:rsidRPr="00D73053">
          <w:rPr>
            <w:rStyle w:val="Hyperlink"/>
            <w:sz w:val="16"/>
            <w:szCs w:val="16"/>
          </w:rPr>
          <w:t>http://www.hud.gov/offices/pih/programs/ph/hope6/index.cfm</w:t>
        </w:r>
      </w:hyperlink>
      <w:r w:rsidR="009368BC">
        <w:t xml:space="preserve">. </w:t>
      </w:r>
      <w:r w:rsidR="009368BC" w:rsidRPr="00161197">
        <w:rPr>
          <w:bCs/>
          <w:sz w:val="16"/>
          <w:szCs w:val="16"/>
        </w:rPr>
        <w:t>(</w:t>
      </w:r>
      <w:hyperlink r:id="rId34"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rsidR="009368BC" w:rsidRDefault="009368BC" w:rsidP="009368BC">
      <w:pPr>
        <w:tabs>
          <w:tab w:val="left" w:pos="720"/>
        </w:tabs>
        <w:ind w:left="720" w:hanging="360"/>
        <w:rPr>
          <w:smallCaps/>
          <w:sz w:val="16"/>
          <w:szCs w:val="16"/>
        </w:rPr>
      </w:pPr>
    </w:p>
    <w:p w:rsidR="009368BC" w:rsidRDefault="002D49BB"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 xml:space="preserve">Mixed Finance Modernization or Development.  </w:t>
      </w:r>
      <w:r w:rsidR="009368BC" w:rsidRPr="00186312">
        <w:rPr>
          <w:rStyle w:val="enum"/>
          <w:color w:val="000000"/>
          <w:sz w:val="16"/>
          <w:szCs w:val="16"/>
        </w:rPr>
        <w:t>1)</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w:t>
      </w:r>
      <w:r w:rsidR="008733E1">
        <w:rPr>
          <w:rStyle w:val="ptext-3"/>
          <w:color w:val="000000"/>
          <w:sz w:val="16"/>
          <w:szCs w:val="16"/>
        </w:rPr>
        <w:t xml:space="preserve">name, </w:t>
      </w:r>
      <w:r w:rsidR="009368BC" w:rsidRPr="00186312">
        <w:rPr>
          <w:rStyle w:val="ptext-3"/>
          <w:color w:val="000000"/>
          <w:sz w:val="16"/>
          <w:szCs w:val="16"/>
        </w:rPr>
        <w:t xml:space="preserve">project number (if known) and unit count) for which the PHA will apply for Mixed Finance Modernization or Development;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w:t>
      </w:r>
      <w:r w:rsidR="009368BC">
        <w:rPr>
          <w:rStyle w:val="ptext-3"/>
          <w:color w:val="000000"/>
          <w:sz w:val="16"/>
          <w:szCs w:val="16"/>
        </w:rPr>
        <w:t xml:space="preserve"> </w:t>
      </w:r>
      <w:r w:rsidR="009368BC" w:rsidRPr="00186312">
        <w:rPr>
          <w:rStyle w:val="ptext-3"/>
          <w:color w:val="000000"/>
          <w:sz w:val="16"/>
          <w:szCs w:val="16"/>
        </w:rPr>
        <w:t xml:space="preserve"> The application and approval process for Mixed Finan</w:t>
      </w:r>
      <w:r w:rsidR="009368BC">
        <w:rPr>
          <w:rStyle w:val="ptext-3"/>
          <w:color w:val="000000"/>
          <w:sz w:val="16"/>
          <w:szCs w:val="16"/>
        </w:rPr>
        <w:t>ce Modernization or Development</w:t>
      </w:r>
      <w:r w:rsidR="009368BC" w:rsidRPr="00186312">
        <w:rPr>
          <w:rStyle w:val="ptext-3"/>
          <w:color w:val="000000"/>
          <w:sz w:val="16"/>
          <w:szCs w:val="16"/>
        </w:rPr>
        <w:t xml:space="preserve"> is a separate process. See guidance on HUD’s website at: </w:t>
      </w:r>
      <w:hyperlink r:id="rId35" w:history="1">
        <w:r w:rsidR="009368BC" w:rsidRPr="00D73053">
          <w:rPr>
            <w:rStyle w:val="Hyperlink"/>
            <w:sz w:val="16"/>
            <w:szCs w:val="16"/>
          </w:rPr>
          <w:t>http://www.hud.gov/offices/pih/programs/ph/hope6/index.cfm</w:t>
        </w:r>
      </w:hyperlink>
      <w:r w:rsidR="009368BC">
        <w:t xml:space="preserve">. </w:t>
      </w:r>
      <w:r w:rsidR="009368BC">
        <w:rPr>
          <w:bCs/>
          <w:sz w:val="16"/>
          <w:szCs w:val="16"/>
        </w:rPr>
        <w:t>(</w:t>
      </w:r>
      <w:hyperlink r:id="rId36"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rsidR="009368BC" w:rsidRDefault="009368BC" w:rsidP="009368BC">
      <w:pPr>
        <w:tabs>
          <w:tab w:val="left" w:pos="720"/>
        </w:tabs>
        <w:ind w:left="720" w:hanging="360"/>
        <w:rPr>
          <w:smallCaps/>
          <w:sz w:val="16"/>
          <w:szCs w:val="16"/>
        </w:rPr>
      </w:pPr>
    </w:p>
    <w:p w:rsidR="009368BC" w:rsidRDefault="002D49BB" w:rsidP="009368BC">
      <w:pPr>
        <w:ind w:left="720"/>
        <w:rPr>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CD3E80">
        <w:rPr>
          <w:smallCaps/>
          <w:sz w:val="16"/>
          <w:szCs w:val="16"/>
        </w:rPr>
      </w:r>
      <w:r w:rsidR="00CD3E8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Demolition and/or D</w:t>
      </w:r>
      <w:r w:rsidR="009368BC">
        <w:rPr>
          <w:b/>
          <w:bCs/>
          <w:sz w:val="16"/>
          <w:szCs w:val="16"/>
        </w:rPr>
        <w:t>isp</w:t>
      </w:r>
      <w:r w:rsidR="009368BC" w:rsidRPr="00186312">
        <w:rPr>
          <w:b/>
          <w:bCs/>
          <w:sz w:val="16"/>
          <w:szCs w:val="16"/>
        </w:rPr>
        <w:t xml:space="preserve">osition.  </w:t>
      </w:r>
      <w:r w:rsidR="009368BC">
        <w:rPr>
          <w:sz w:val="16"/>
          <w:szCs w:val="16"/>
        </w:rPr>
        <w:t xml:space="preserve">Describe </w:t>
      </w:r>
      <w:r w:rsidR="009368BC" w:rsidRPr="00186312">
        <w:rPr>
          <w:sz w:val="16"/>
          <w:szCs w:val="16"/>
        </w:rPr>
        <w:t>any</w:t>
      </w:r>
      <w:r w:rsidR="009368BC" w:rsidRPr="00186312">
        <w:rPr>
          <w:b/>
          <w:bCs/>
          <w:sz w:val="16"/>
          <w:szCs w:val="16"/>
        </w:rPr>
        <w:t xml:space="preserve"> </w:t>
      </w:r>
      <w:r w:rsidR="009368BC" w:rsidRPr="00186312">
        <w:rPr>
          <w:sz w:val="16"/>
          <w:szCs w:val="16"/>
        </w:rPr>
        <w:t xml:space="preserve">public housing projects owned by the </w:t>
      </w:r>
      <w:r w:rsidR="009368BC">
        <w:rPr>
          <w:sz w:val="16"/>
          <w:szCs w:val="16"/>
        </w:rPr>
        <w:t>PHA and subject to ACCs</w:t>
      </w:r>
      <w:r w:rsidR="009368BC" w:rsidRPr="00186312">
        <w:rPr>
          <w:sz w:val="16"/>
          <w:szCs w:val="16"/>
        </w:rPr>
        <w:t xml:space="preserve"> (including </w:t>
      </w:r>
      <w:r w:rsidR="008733E1">
        <w:rPr>
          <w:sz w:val="16"/>
          <w:szCs w:val="16"/>
        </w:rPr>
        <w:t xml:space="preserve">name, </w:t>
      </w:r>
      <w:r w:rsidR="009368BC" w:rsidRPr="00186312">
        <w:rPr>
          <w:sz w:val="16"/>
          <w:szCs w:val="16"/>
        </w:rPr>
        <w:t xml:space="preserve">project number and unit numbers [or addresses]), and the number of affected units along with their sizes and accessibility features) for which the PHA will apply or is currently pending for </w:t>
      </w:r>
      <w:r w:rsidR="009368BC">
        <w:rPr>
          <w:sz w:val="16"/>
          <w:szCs w:val="16"/>
        </w:rPr>
        <w:t xml:space="preserve">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37" w:history="1">
        <w:r w:rsidR="009368BC" w:rsidRPr="00975FB1">
          <w:rPr>
            <w:rStyle w:val="Hyperlink"/>
            <w:sz w:val="16"/>
            <w:szCs w:val="16"/>
          </w:rPr>
          <w:t>http://www.hud.gov/offices/pih/centers/sac/demo_dispo/index.cfm</w:t>
        </w:r>
      </w:hyperlink>
      <w:r w:rsidR="009368BC">
        <w:rPr>
          <w:sz w:val="16"/>
          <w:szCs w:val="16"/>
        </w:rPr>
        <w:t xml:space="preserve">. </w:t>
      </w:r>
      <w:r w:rsidR="009368BC">
        <w:rPr>
          <w:bCs/>
          <w:sz w:val="16"/>
          <w:szCs w:val="16"/>
        </w:rPr>
        <w:t>(</w:t>
      </w:r>
      <w:hyperlink r:id="rId38" w:anchor="24:4.0.3.1.3.2.5.5" w:history="1">
        <w:r w:rsidR="009368BC" w:rsidRPr="00273E0A">
          <w:rPr>
            <w:rStyle w:val="Hyperlink"/>
            <w:bCs/>
            <w:sz w:val="16"/>
            <w:szCs w:val="16"/>
          </w:rPr>
          <w:t>24 CFR §903.7(h)</w:t>
        </w:r>
      </w:hyperlink>
      <w:r w:rsidR="009368BC">
        <w:rPr>
          <w:bCs/>
          <w:sz w:val="16"/>
          <w:szCs w:val="16"/>
        </w:rPr>
        <w:t xml:space="preserve">) </w:t>
      </w:r>
      <w:r w:rsidR="009368BC">
        <w:rPr>
          <w:sz w:val="16"/>
          <w:szCs w:val="16"/>
        </w:rPr>
        <w:t xml:space="preserve"> </w:t>
      </w:r>
    </w:p>
    <w:p w:rsidR="009368BC" w:rsidRPr="00727895" w:rsidRDefault="009368BC" w:rsidP="009368BC">
      <w:pPr>
        <w:ind w:left="360"/>
        <w:rPr>
          <w:rStyle w:val="ptext-3"/>
          <w:sz w:val="16"/>
          <w:szCs w:val="16"/>
        </w:rPr>
      </w:pPr>
      <w:r>
        <w:rPr>
          <w:sz w:val="16"/>
          <w:szCs w:val="16"/>
        </w:rPr>
        <w:tab/>
      </w:r>
    </w:p>
    <w:p w:rsidR="009368BC" w:rsidRDefault="002D49BB" w:rsidP="009368B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CD3E80">
        <w:rPr>
          <w:smallCaps/>
          <w:sz w:val="16"/>
          <w:szCs w:val="16"/>
        </w:rPr>
      </w:r>
      <w:r w:rsidR="00CD3E80">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sidRPr="002A3A80">
        <w:rPr>
          <w:b/>
          <w:bCs/>
          <w:sz w:val="16"/>
          <w:szCs w:val="16"/>
        </w:rPr>
        <w:t xml:space="preserve">Conversion of Public Housing. </w:t>
      </w:r>
      <w:r w:rsidR="009368BC" w:rsidRPr="002A3A80">
        <w:rPr>
          <w:sz w:val="16"/>
          <w:szCs w:val="16"/>
        </w:rPr>
        <w:t xml:space="preserve"> Describe </w:t>
      </w:r>
      <w:r w:rsidR="009368B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2A3A80">
        <w:rPr>
          <w:rStyle w:val="enum"/>
          <w:color w:val="000000"/>
          <w:sz w:val="16"/>
          <w:szCs w:val="16"/>
        </w:rPr>
        <w:t>2)</w:t>
      </w:r>
      <w:r w:rsidR="009368BC" w:rsidRPr="002A3A80">
        <w:rPr>
          <w:sz w:val="16"/>
          <w:szCs w:val="16"/>
        </w:rPr>
        <w:t xml:space="preserve"> A</w:t>
      </w:r>
      <w:r w:rsidR="009368BC" w:rsidRPr="002A3A80">
        <w:rPr>
          <w:rStyle w:val="ptext-3"/>
          <w:color w:val="000000"/>
          <w:sz w:val="16"/>
          <w:szCs w:val="16"/>
        </w:rPr>
        <w:t xml:space="preserve">n analysis of the projects or buildings required to be converted; and </w:t>
      </w:r>
      <w:r w:rsidR="009368BC" w:rsidRPr="002A3A80">
        <w:rPr>
          <w:rStyle w:val="enum"/>
          <w:color w:val="000000"/>
          <w:sz w:val="16"/>
          <w:szCs w:val="16"/>
        </w:rPr>
        <w:t>3)</w:t>
      </w:r>
      <w:r w:rsidR="009368BC" w:rsidRPr="002A3A80">
        <w:rPr>
          <w:color w:val="000000"/>
          <w:sz w:val="16"/>
          <w:szCs w:val="16"/>
        </w:rPr>
        <w:t xml:space="preserve"> A</w:t>
      </w:r>
      <w:r w:rsidR="009368BC" w:rsidRPr="002A3A80">
        <w:rPr>
          <w:rStyle w:val="ptext-3"/>
          <w:color w:val="000000"/>
          <w:sz w:val="16"/>
          <w:szCs w:val="16"/>
        </w:rPr>
        <w:t xml:space="preserve"> statement of the amount of assistance received to be used for rental assistance or other housing assistance </w:t>
      </w:r>
      <w:proofErr w:type="gramStart"/>
      <w:r w:rsidR="009368BC" w:rsidRPr="002A3A80">
        <w:rPr>
          <w:rStyle w:val="ptext-3"/>
          <w:color w:val="000000"/>
          <w:sz w:val="16"/>
          <w:szCs w:val="16"/>
        </w:rPr>
        <w:t>in connection with</w:t>
      </w:r>
      <w:proofErr w:type="gramEnd"/>
      <w:r w:rsidR="00D60092">
        <w:rPr>
          <w:rStyle w:val="ptext-3"/>
          <w:color w:val="000000"/>
          <w:sz w:val="16"/>
          <w:szCs w:val="16"/>
        </w:rPr>
        <w:t xml:space="preserve"> such conversion.  See guidance </w:t>
      </w:r>
      <w:r w:rsidR="009368BC" w:rsidRPr="002A3A80">
        <w:rPr>
          <w:rStyle w:val="ptext-3"/>
          <w:color w:val="000000"/>
          <w:sz w:val="16"/>
          <w:szCs w:val="16"/>
        </w:rPr>
        <w:t xml:space="preserve">on HUD’s website at: </w:t>
      </w:r>
      <w:hyperlink r:id="rId39" w:history="1">
        <w:r w:rsidR="009368BC" w:rsidRPr="002A3A80">
          <w:rPr>
            <w:rStyle w:val="Hyperlink"/>
            <w:sz w:val="16"/>
            <w:szCs w:val="16"/>
          </w:rPr>
          <w:t>http://www.hud.gov/offices/pih/centers/sac/conversion.cfm</w:t>
        </w:r>
      </w:hyperlink>
      <w:r w:rsidR="009368BC">
        <w:t xml:space="preserve">. </w:t>
      </w:r>
      <w:r w:rsidR="009368BC">
        <w:rPr>
          <w:bCs/>
          <w:sz w:val="16"/>
          <w:szCs w:val="16"/>
        </w:rPr>
        <w:t>(</w:t>
      </w:r>
      <w:hyperlink r:id="rId40" w:anchor="24:4.0.3.1.3.2.5.5" w:history="1">
        <w:r w:rsidR="009368BC" w:rsidRPr="00273E0A">
          <w:rPr>
            <w:rStyle w:val="Hyperlink"/>
            <w:bCs/>
            <w:sz w:val="16"/>
            <w:szCs w:val="16"/>
          </w:rPr>
          <w:t>24 CFR §903.7(j)</w:t>
        </w:r>
      </w:hyperlink>
      <w:r w:rsidR="009368BC">
        <w:rPr>
          <w:bCs/>
          <w:sz w:val="16"/>
          <w:szCs w:val="16"/>
        </w:rPr>
        <w:t xml:space="preserve">)   </w:t>
      </w:r>
    </w:p>
    <w:p w:rsidR="009368BC" w:rsidRDefault="009368BC" w:rsidP="009368BC">
      <w:pPr>
        <w:pStyle w:val="NormalWeb"/>
        <w:spacing w:before="0" w:beforeAutospacing="0" w:after="0" w:afterAutospacing="0"/>
        <w:rPr>
          <w:smallCaps/>
          <w:sz w:val="16"/>
          <w:szCs w:val="16"/>
        </w:rPr>
      </w:pPr>
    </w:p>
    <w:p w:rsidR="00D60092" w:rsidRPr="00FE77BB" w:rsidRDefault="002D49BB" w:rsidP="009368BC">
      <w:pPr>
        <w:pStyle w:val="NormalWeb"/>
        <w:spacing w:before="0" w:beforeAutospacing="0" w:after="0" w:afterAutospacing="0"/>
        <w:ind w:left="360" w:firstLine="360"/>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CD3E80">
        <w:rPr>
          <w:smallCaps/>
          <w:sz w:val="16"/>
          <w:szCs w:val="16"/>
        </w:rPr>
      </w:r>
      <w:r w:rsidR="00CD3E80">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Pr>
          <w:b/>
          <w:bCs/>
          <w:sz w:val="16"/>
          <w:szCs w:val="16"/>
        </w:rPr>
        <w:t>Project-Based Vouchers</w:t>
      </w:r>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w:t>
      </w:r>
      <w:r w:rsidR="009368BC">
        <w:rPr>
          <w:rStyle w:val="ptext-3"/>
          <w:color w:val="000000"/>
          <w:sz w:val="16"/>
          <w:szCs w:val="16"/>
        </w:rPr>
        <w:t xml:space="preserve">plans to </w:t>
      </w:r>
      <w:proofErr w:type="gramStart"/>
      <w:r w:rsidR="009368BC">
        <w:rPr>
          <w:rStyle w:val="ptext-3"/>
          <w:color w:val="000000"/>
          <w:sz w:val="16"/>
          <w:szCs w:val="16"/>
        </w:rPr>
        <w:t>use  HCVs</w:t>
      </w:r>
      <w:proofErr w:type="gramEnd"/>
      <w:r w:rsidR="009368BC">
        <w:rPr>
          <w:rStyle w:val="ptext-3"/>
          <w:color w:val="000000"/>
          <w:sz w:val="16"/>
          <w:szCs w:val="16"/>
        </w:rPr>
        <w:t xml:space="preserve"> for new project-based vouchers. </w:t>
      </w:r>
      <w:r w:rsidR="009368BC">
        <w:rPr>
          <w:bCs/>
          <w:sz w:val="16"/>
          <w:szCs w:val="16"/>
        </w:rPr>
        <w:t>(</w:t>
      </w:r>
      <w:hyperlink r:id="rId41" w:anchor="24:4.0.3.1.24.2.41.7" w:history="1">
        <w:r w:rsidR="009368BC" w:rsidRPr="001144BE">
          <w:rPr>
            <w:rStyle w:val="Hyperlink"/>
            <w:bCs/>
            <w:sz w:val="16"/>
            <w:szCs w:val="16"/>
          </w:rPr>
          <w:t>24 CFR §983.57(b)(1)</w:t>
        </w:r>
      </w:hyperlink>
      <w:r w:rsidR="009368BC">
        <w:rPr>
          <w:bCs/>
          <w:sz w:val="16"/>
          <w:szCs w:val="16"/>
        </w:rPr>
        <w:t xml:space="preserve">)  </w:t>
      </w:r>
      <w:r w:rsidR="00D60092" w:rsidRPr="00D60092">
        <w:rPr>
          <w:bCs/>
          <w:sz w:val="16"/>
          <w:szCs w:val="16"/>
        </w:rPr>
        <w:t xml:space="preserve">If using project-based vouchers, </w:t>
      </w:r>
      <w:r w:rsidR="00D60092">
        <w:rPr>
          <w:bCs/>
          <w:sz w:val="16"/>
          <w:szCs w:val="16"/>
        </w:rPr>
        <w:t xml:space="preserve"> </w:t>
      </w:r>
    </w:p>
    <w:p w:rsidR="009368BC" w:rsidRPr="00FE77BB" w:rsidRDefault="00D60092" w:rsidP="00FE77BB">
      <w:pPr>
        <w:pStyle w:val="NormalWeb"/>
        <w:spacing w:before="0" w:beforeAutospacing="0" w:after="0" w:afterAutospacing="0"/>
        <w:ind w:left="360" w:firstLine="360"/>
        <w:rPr>
          <w:color w:val="000000"/>
          <w:sz w:val="16"/>
        </w:rPr>
      </w:pPr>
      <w:r>
        <w:rPr>
          <w:bCs/>
          <w:sz w:val="16"/>
          <w:szCs w:val="16"/>
        </w:rPr>
        <w:t xml:space="preserve">      </w:t>
      </w:r>
      <w:r w:rsidRPr="00D60092">
        <w:rPr>
          <w:bCs/>
          <w:sz w:val="16"/>
          <w:szCs w:val="16"/>
        </w:rPr>
        <w:t>provide the projected number of project-based units and general locations, and describe how project-basing would be consistent with the PHA Plan.</w:t>
      </w:r>
    </w:p>
    <w:p w:rsidR="00762EA1" w:rsidRDefault="00762EA1" w:rsidP="004E4B0F">
      <w:pPr>
        <w:ind w:left="720"/>
        <w:rPr>
          <w:rFonts w:eastAsia="Calibri"/>
          <w:sz w:val="16"/>
          <w:szCs w:val="16"/>
        </w:rPr>
      </w:pPr>
    </w:p>
    <w:p w:rsidR="00762EA1" w:rsidRDefault="002D49BB" w:rsidP="00762EA1">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762EA1" w:rsidRPr="002A3A80">
        <w:rPr>
          <w:smallCaps/>
          <w:sz w:val="16"/>
          <w:szCs w:val="16"/>
        </w:rPr>
        <w:instrText xml:space="preserve"> FORMCHECKBOX </w:instrText>
      </w:r>
      <w:r w:rsidR="00CD3E80">
        <w:rPr>
          <w:smallCaps/>
          <w:sz w:val="16"/>
          <w:szCs w:val="16"/>
        </w:rPr>
      </w:r>
      <w:r w:rsidR="00CD3E80">
        <w:rPr>
          <w:smallCaps/>
          <w:sz w:val="16"/>
          <w:szCs w:val="16"/>
        </w:rPr>
        <w:fldChar w:fldCharType="separate"/>
      </w:r>
      <w:r w:rsidRPr="002A3A80">
        <w:rPr>
          <w:smallCaps/>
          <w:sz w:val="16"/>
          <w:szCs w:val="16"/>
        </w:rPr>
        <w:fldChar w:fldCharType="end"/>
      </w:r>
      <w:r w:rsidR="00762EA1" w:rsidRPr="002A3A80">
        <w:rPr>
          <w:smallCaps/>
          <w:sz w:val="16"/>
          <w:szCs w:val="16"/>
        </w:rPr>
        <w:t xml:space="preserve"> </w:t>
      </w:r>
      <w:r w:rsidR="00762EA1">
        <w:rPr>
          <w:smallCaps/>
          <w:sz w:val="16"/>
          <w:szCs w:val="16"/>
        </w:rPr>
        <w:t xml:space="preserve"> </w:t>
      </w:r>
      <w:r w:rsidR="00762EA1" w:rsidRPr="0015270F">
        <w:rPr>
          <w:b/>
          <w:bCs/>
          <w:sz w:val="16"/>
          <w:szCs w:val="16"/>
        </w:rPr>
        <w:t>Other</w:t>
      </w:r>
      <w:r w:rsidR="00762EA1">
        <w:rPr>
          <w:b/>
          <w:bCs/>
          <w:sz w:val="16"/>
          <w:szCs w:val="16"/>
        </w:rPr>
        <w:t xml:space="preserve"> Capital</w:t>
      </w:r>
      <w:r w:rsidR="00762EA1" w:rsidRPr="0015270F">
        <w:rPr>
          <w:b/>
          <w:bCs/>
          <w:sz w:val="16"/>
          <w:szCs w:val="16"/>
        </w:rPr>
        <w:t xml:space="preserve"> Grant Programs</w:t>
      </w:r>
      <w:r w:rsidR="00762EA1">
        <w:rPr>
          <w:bCs/>
          <w:sz w:val="16"/>
          <w:szCs w:val="16"/>
        </w:rPr>
        <w:t xml:space="preserve"> (i.e., Capital Fund Community Facilities Grants or Emergency Safety and Security Grants).</w:t>
      </w:r>
    </w:p>
    <w:p w:rsidR="00D60092" w:rsidRPr="00762EA1" w:rsidRDefault="00D60092" w:rsidP="00D60092">
      <w:pPr>
        <w:pStyle w:val="NormalWeb"/>
        <w:spacing w:before="0" w:beforeAutospacing="0" w:after="0" w:afterAutospacing="0"/>
        <w:rPr>
          <w:color w:val="000000"/>
          <w:sz w:val="16"/>
          <w:szCs w:val="16"/>
        </w:rPr>
      </w:pPr>
      <w:r w:rsidRPr="00D60092">
        <w:rPr>
          <w:color w:val="000000"/>
          <w:sz w:val="16"/>
          <w:szCs w:val="16"/>
        </w:rPr>
        <w:t>.</w:t>
      </w:r>
    </w:p>
    <w:p w:rsidR="009368BC" w:rsidRPr="00A06D8E" w:rsidRDefault="009368BC" w:rsidP="009368BC">
      <w:pPr>
        <w:pStyle w:val="NormalWeb"/>
        <w:spacing w:before="0" w:beforeAutospacing="0" w:after="0" w:afterAutospacing="0"/>
        <w:ind w:left="360" w:firstLine="360"/>
        <w:rPr>
          <w:sz w:val="16"/>
          <w:szCs w:val="16"/>
        </w:rPr>
      </w:pPr>
    </w:p>
    <w:p w:rsidR="0032193C" w:rsidRDefault="009368BC" w:rsidP="009368BC">
      <w:pPr>
        <w:tabs>
          <w:tab w:val="left" w:pos="360"/>
          <w:tab w:val="left" w:pos="720"/>
        </w:tabs>
        <w:ind w:left="720" w:hanging="450"/>
        <w:rPr>
          <w:sz w:val="16"/>
          <w:szCs w:val="16"/>
        </w:rPr>
      </w:pPr>
      <w:r>
        <w:rPr>
          <w:b/>
          <w:bCs/>
          <w:sz w:val="16"/>
          <w:szCs w:val="16"/>
        </w:rPr>
        <w:t>B.3</w:t>
      </w:r>
      <w:r w:rsidRPr="00954D20">
        <w:rPr>
          <w:b/>
          <w:bCs/>
          <w:sz w:val="16"/>
          <w:szCs w:val="16"/>
        </w:rPr>
        <w:t xml:space="preserve"> </w:t>
      </w:r>
      <w:r>
        <w:rPr>
          <w:b/>
          <w:bCs/>
          <w:sz w:val="16"/>
          <w:szCs w:val="16"/>
        </w:rPr>
        <w:tab/>
        <w:t xml:space="preserve">Progress Report.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42"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903.7(r)(1)</w:t>
        </w:r>
      </w:hyperlink>
      <w:r w:rsidRPr="00C77A5D">
        <w:rPr>
          <w:sz w:val="16"/>
          <w:szCs w:val="16"/>
        </w:rPr>
        <w:t>)</w:t>
      </w:r>
      <w:r>
        <w:rPr>
          <w:sz w:val="16"/>
          <w:szCs w:val="16"/>
        </w:rPr>
        <w:t xml:space="preserve">  </w:t>
      </w:r>
    </w:p>
    <w:p w:rsidR="0032193C" w:rsidRDefault="0032193C" w:rsidP="00FE77BB">
      <w:pPr>
        <w:tabs>
          <w:tab w:val="left" w:pos="360"/>
          <w:tab w:val="left" w:pos="720"/>
        </w:tabs>
        <w:ind w:left="720" w:hanging="450"/>
        <w:rPr>
          <w:sz w:val="16"/>
          <w:szCs w:val="16"/>
        </w:rPr>
      </w:pPr>
    </w:p>
    <w:p w:rsidR="0032193C" w:rsidRPr="00FE77BB" w:rsidRDefault="0032193C" w:rsidP="00FE77BB">
      <w:pPr>
        <w:tabs>
          <w:tab w:val="left" w:pos="360"/>
          <w:tab w:val="left" w:pos="720"/>
        </w:tabs>
        <w:ind w:left="720" w:hanging="450"/>
        <w:rPr>
          <w:sz w:val="16"/>
        </w:rPr>
      </w:pPr>
      <w:r w:rsidRPr="0032193C">
        <w:rPr>
          <w:b/>
          <w:bCs/>
          <w:sz w:val="16"/>
          <w:szCs w:val="16"/>
        </w:rPr>
        <w:t>B.4</w:t>
      </w:r>
      <w:r w:rsidRPr="0032193C">
        <w:rPr>
          <w:b/>
          <w:bCs/>
          <w:sz w:val="16"/>
          <w:szCs w:val="16"/>
        </w:rPr>
        <w:tab/>
        <w:t>Most Recent</w:t>
      </w:r>
      <w:r w:rsidRPr="00FE77BB">
        <w:rPr>
          <w:b/>
          <w:sz w:val="16"/>
        </w:rPr>
        <w:t xml:space="preserve"> Fiscal Year</w:t>
      </w:r>
      <w:r w:rsidRPr="0032193C">
        <w:rPr>
          <w:b/>
          <w:bCs/>
          <w:sz w:val="16"/>
          <w:szCs w:val="16"/>
        </w:rPr>
        <w:t xml:space="preserve"> Audit.</w:t>
      </w:r>
      <w:r w:rsidRPr="0032193C">
        <w:rPr>
          <w:sz w:val="16"/>
          <w:szCs w:val="16"/>
        </w:rPr>
        <w:t xml:space="preserve">  If the results of the most recent fiscal year audit for the PHA included any findings, mark “yes” and describe those findings in the space provided.  </w:t>
      </w:r>
      <w:r w:rsidRPr="0032193C">
        <w:rPr>
          <w:bCs/>
          <w:sz w:val="16"/>
          <w:szCs w:val="16"/>
        </w:rPr>
        <w:t>(</w:t>
      </w:r>
      <w:hyperlink r:id="rId43" w:anchor="24:4.0.3.1.3.2.5.5" w:history="1">
        <w:r w:rsidRPr="0032193C">
          <w:rPr>
            <w:rStyle w:val="Hyperlink"/>
            <w:bCs/>
            <w:sz w:val="16"/>
            <w:szCs w:val="16"/>
          </w:rPr>
          <w:t>24 CFR §903.7(p)</w:t>
        </w:r>
      </w:hyperlink>
      <w:r w:rsidRPr="0032193C">
        <w:rPr>
          <w:bCs/>
          <w:sz w:val="16"/>
          <w:szCs w:val="16"/>
        </w:rPr>
        <w:t xml:space="preserve">)   </w:t>
      </w:r>
    </w:p>
    <w:p w:rsidR="00DF551C" w:rsidRDefault="00DF551C" w:rsidP="00FE77BB">
      <w:pPr>
        <w:tabs>
          <w:tab w:val="left" w:pos="360"/>
          <w:tab w:val="left" w:pos="720"/>
        </w:tabs>
        <w:rPr>
          <w:bCs/>
          <w:sz w:val="16"/>
          <w:szCs w:val="16"/>
        </w:rPr>
      </w:pPr>
    </w:p>
    <w:p w:rsidR="00DF551C" w:rsidRPr="00DF551C" w:rsidRDefault="00DF551C" w:rsidP="00DF551C">
      <w:pPr>
        <w:tabs>
          <w:tab w:val="left" w:pos="360"/>
          <w:tab w:val="left" w:pos="720"/>
        </w:tabs>
        <w:rPr>
          <w:b/>
          <w:bCs/>
          <w:sz w:val="16"/>
          <w:szCs w:val="16"/>
        </w:rPr>
      </w:pPr>
      <w:r>
        <w:rPr>
          <w:b/>
          <w:bCs/>
          <w:sz w:val="16"/>
          <w:szCs w:val="16"/>
        </w:rPr>
        <w:t>C.</w:t>
      </w:r>
      <w:r>
        <w:rPr>
          <w:b/>
          <w:bCs/>
          <w:sz w:val="16"/>
          <w:szCs w:val="16"/>
        </w:rPr>
        <w:tab/>
      </w:r>
      <w:r w:rsidR="00486BAA">
        <w:rPr>
          <w:b/>
          <w:bCs/>
          <w:sz w:val="16"/>
          <w:szCs w:val="16"/>
        </w:rPr>
        <w:t>Other Document and/or Certification Requirements</w:t>
      </w:r>
      <w:r w:rsidRPr="00BE5FE4">
        <w:rPr>
          <w:bCs/>
          <w:sz w:val="16"/>
          <w:szCs w:val="16"/>
        </w:rPr>
        <w:t xml:space="preserve">  </w:t>
      </w:r>
    </w:p>
    <w:p w:rsidR="009368BC" w:rsidRPr="00A4162C" w:rsidRDefault="009368BC" w:rsidP="009368BC">
      <w:pPr>
        <w:tabs>
          <w:tab w:val="left" w:pos="360"/>
          <w:tab w:val="left" w:pos="720"/>
        </w:tabs>
        <w:ind w:left="720" w:hanging="450"/>
        <w:rPr>
          <w:bCs/>
          <w:sz w:val="16"/>
          <w:szCs w:val="16"/>
        </w:rPr>
      </w:pPr>
    </w:p>
    <w:p w:rsidR="00325506" w:rsidRPr="00FE77BB" w:rsidRDefault="00644BA5" w:rsidP="00FE77BB">
      <w:pPr>
        <w:ind w:left="720" w:hanging="540"/>
        <w:rPr>
          <w:color w:val="000000"/>
          <w:sz w:val="16"/>
        </w:rPr>
      </w:pPr>
      <w:r>
        <w:rPr>
          <w:b/>
          <w:color w:val="000000"/>
          <w:sz w:val="16"/>
          <w:szCs w:val="16"/>
        </w:rPr>
        <w:t xml:space="preserve">  </w:t>
      </w:r>
      <w:r w:rsidR="00DF551C">
        <w:rPr>
          <w:b/>
          <w:color w:val="000000"/>
          <w:sz w:val="16"/>
          <w:szCs w:val="16"/>
        </w:rPr>
        <w:t>C</w:t>
      </w:r>
      <w:r w:rsidR="00BA7B8B">
        <w:rPr>
          <w:b/>
          <w:color w:val="000000"/>
          <w:sz w:val="16"/>
          <w:szCs w:val="16"/>
        </w:rPr>
        <w:t>.1</w:t>
      </w:r>
      <w:r w:rsidR="009368BC">
        <w:rPr>
          <w:b/>
          <w:color w:val="000000"/>
          <w:sz w:val="16"/>
          <w:szCs w:val="16"/>
        </w:rPr>
        <w:tab/>
      </w:r>
      <w:r w:rsidR="005E60C5">
        <w:rPr>
          <w:b/>
          <w:bCs/>
          <w:sz w:val="16"/>
          <w:szCs w:val="16"/>
        </w:rPr>
        <w:t xml:space="preserve">Certification Listing Policies and Programs that the PHA has Revised since Submission of its Last Annual Plan. </w:t>
      </w:r>
      <w:r w:rsidR="005E60C5">
        <w:rPr>
          <w:bCs/>
          <w:sz w:val="16"/>
          <w:szCs w:val="16"/>
        </w:rPr>
        <w:t xml:space="preserve">Provide a certification that </w:t>
      </w:r>
      <w:r w:rsidR="005E60C5">
        <w:rPr>
          <w:sz w:val="16"/>
          <w:szCs w:val="16"/>
        </w:rPr>
        <w:t xml:space="preserve">the </w:t>
      </w:r>
    </w:p>
    <w:p w:rsidR="00325506" w:rsidRDefault="005E60C5" w:rsidP="00325506">
      <w:pPr>
        <w:tabs>
          <w:tab w:val="left" w:pos="409"/>
          <w:tab w:val="left" w:pos="522"/>
        </w:tabs>
        <w:rPr>
          <w:sz w:val="16"/>
          <w:szCs w:val="16"/>
        </w:rPr>
      </w:pPr>
      <w:r>
        <w:rPr>
          <w:sz w:val="16"/>
          <w:szCs w:val="16"/>
        </w:rPr>
        <w:t xml:space="preserve">                  following plan elements have been revised, provided to the RAB for comment before implementation, approved by the PHA board, and made available for </w:t>
      </w:r>
    </w:p>
    <w:p w:rsidR="00325506" w:rsidRDefault="005E60C5" w:rsidP="00325506">
      <w:pPr>
        <w:tabs>
          <w:tab w:val="left" w:pos="409"/>
          <w:tab w:val="left" w:pos="522"/>
        </w:tabs>
        <w:rPr>
          <w:sz w:val="16"/>
          <w:szCs w:val="16"/>
        </w:rPr>
      </w:pPr>
      <w:r>
        <w:rPr>
          <w:sz w:val="16"/>
          <w:szCs w:val="16"/>
        </w:rPr>
        <w:t xml:space="preserve">                  review and inspection by the public</w:t>
      </w:r>
      <w:r w:rsidR="00822AF3">
        <w:rPr>
          <w:sz w:val="16"/>
          <w:szCs w:val="16"/>
        </w:rPr>
        <w:t xml:space="preserve">. This requirement is satisfied by completing </w:t>
      </w:r>
      <w:r w:rsidR="00486BAA">
        <w:rPr>
          <w:sz w:val="16"/>
          <w:szCs w:val="16"/>
        </w:rPr>
        <w:t xml:space="preserve">and submitting </w:t>
      </w:r>
      <w:r w:rsidR="00822AF3">
        <w:rPr>
          <w:sz w:val="16"/>
          <w:szCs w:val="16"/>
        </w:rPr>
        <w:t>form HUD-50077 SM-HP</w:t>
      </w:r>
      <w:r w:rsidR="00F359CD">
        <w:rPr>
          <w:sz w:val="16"/>
          <w:szCs w:val="16"/>
        </w:rPr>
        <w:t>.</w:t>
      </w:r>
    </w:p>
    <w:p w:rsidR="00DF551C" w:rsidRDefault="00DF551C" w:rsidP="009368BC">
      <w:pPr>
        <w:tabs>
          <w:tab w:val="left" w:pos="720"/>
        </w:tabs>
        <w:ind w:left="720" w:hanging="720"/>
        <w:rPr>
          <w:b/>
          <w:color w:val="000000"/>
          <w:sz w:val="16"/>
          <w:szCs w:val="16"/>
        </w:rPr>
      </w:pPr>
    </w:p>
    <w:p w:rsidR="009368BC" w:rsidRPr="002A1B0F" w:rsidRDefault="00644BA5" w:rsidP="009368BC">
      <w:pPr>
        <w:tabs>
          <w:tab w:val="left" w:pos="720"/>
        </w:tabs>
        <w:ind w:left="720" w:hanging="720"/>
        <w:rPr>
          <w:b/>
          <w:color w:val="000000"/>
          <w:sz w:val="16"/>
          <w:szCs w:val="16"/>
        </w:rPr>
      </w:pPr>
      <w:r>
        <w:rPr>
          <w:b/>
          <w:color w:val="000000"/>
          <w:sz w:val="16"/>
          <w:szCs w:val="16"/>
        </w:rPr>
        <w:t xml:space="preserve">        </w:t>
      </w:r>
      <w:r w:rsidR="00486BAA">
        <w:rPr>
          <w:b/>
          <w:color w:val="000000"/>
          <w:sz w:val="16"/>
          <w:szCs w:val="16"/>
        </w:rPr>
        <w:t>C</w:t>
      </w:r>
      <w:r>
        <w:rPr>
          <w:b/>
          <w:color w:val="000000"/>
          <w:sz w:val="16"/>
          <w:szCs w:val="16"/>
        </w:rPr>
        <w:t>.</w:t>
      </w:r>
      <w:r w:rsidR="00486BAA">
        <w:rPr>
          <w:b/>
          <w:color w:val="000000"/>
          <w:sz w:val="16"/>
          <w:szCs w:val="16"/>
        </w:rPr>
        <w:t>2</w:t>
      </w:r>
      <w:r>
        <w:rPr>
          <w:b/>
          <w:color w:val="000000"/>
          <w:sz w:val="16"/>
          <w:szCs w:val="16"/>
        </w:rPr>
        <w:t xml:space="preserve">    </w:t>
      </w:r>
      <w:r w:rsidR="009368BC" w:rsidRPr="007C569F">
        <w:rPr>
          <w:b/>
          <w:color w:val="000000"/>
          <w:sz w:val="16"/>
          <w:szCs w:val="16"/>
        </w:rPr>
        <w:t>Civil Rights Certification.</w:t>
      </w:r>
      <w:r w:rsidR="009368BC" w:rsidRPr="007C569F">
        <w:rPr>
          <w:color w:val="000000"/>
          <w:sz w:val="16"/>
          <w:szCs w:val="16"/>
        </w:rPr>
        <w:t xml:space="preserve">  </w:t>
      </w:r>
      <w:r w:rsidR="009368BC" w:rsidRPr="007C569F">
        <w:rPr>
          <w:sz w:val="16"/>
          <w:szCs w:val="16"/>
        </w:rPr>
        <w:t>Form HUD-50077</w:t>
      </w:r>
      <w:r w:rsidR="00822AF3">
        <w:rPr>
          <w:sz w:val="16"/>
          <w:szCs w:val="16"/>
        </w:rPr>
        <w:t xml:space="preserve"> SM-HP</w:t>
      </w:r>
      <w:r w:rsidR="009368BC" w:rsidRPr="007C569F">
        <w:rPr>
          <w:sz w:val="16"/>
          <w:szCs w:val="16"/>
        </w:rPr>
        <w:t xml:space="preserve">, </w:t>
      </w:r>
      <w:r w:rsidR="009368BC" w:rsidRPr="007C569F">
        <w:rPr>
          <w:i/>
          <w:iCs/>
          <w:sz w:val="16"/>
          <w:szCs w:val="16"/>
        </w:rPr>
        <w:t>PHA Certifications of Compliance with the PHA Plans and Related Regulation</w:t>
      </w:r>
      <w:r w:rsidR="009368BC" w:rsidRPr="007C569F">
        <w:rPr>
          <w:bCs/>
          <w:sz w:val="16"/>
          <w:szCs w:val="16"/>
        </w:rPr>
        <w:t xml:space="preserve">, must be submitted by the PHA as an electronic attachment to the PHA Plan. </w:t>
      </w:r>
      <w:r w:rsidR="009368BC" w:rsidRPr="007C569F">
        <w:rPr>
          <w:i/>
          <w:iCs/>
          <w:sz w:val="16"/>
          <w:szCs w:val="16"/>
        </w:rPr>
        <w:t xml:space="preserve"> </w:t>
      </w:r>
      <w:r w:rsidR="009368BC" w:rsidRPr="007C569F">
        <w:rPr>
          <w:iCs/>
          <w:sz w:val="16"/>
          <w:szCs w:val="16"/>
        </w:rPr>
        <w:t xml:space="preserve">This includes all certifications relating to Civil Rights and related regulations.  </w:t>
      </w:r>
      <w:r w:rsidR="009368BC" w:rsidRPr="007C569F">
        <w:rPr>
          <w:sz w:val="16"/>
          <w:szCs w:val="16"/>
        </w:rPr>
        <w:t>A PHA will be considered in compl</w:t>
      </w:r>
      <w:r w:rsidR="00CD13EA">
        <w:rPr>
          <w:sz w:val="16"/>
          <w:szCs w:val="16"/>
        </w:rPr>
        <w:t xml:space="preserve">iance with the </w:t>
      </w:r>
      <w:r w:rsidR="009368BC"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sidR="009368BC">
        <w:rPr>
          <w:rStyle w:val="ptext-3"/>
          <w:color w:val="000000"/>
          <w:sz w:val="16"/>
          <w:szCs w:val="16"/>
        </w:rPr>
        <w:t xml:space="preserve"> </w:t>
      </w:r>
      <w:r w:rsidR="009368BC">
        <w:rPr>
          <w:sz w:val="16"/>
          <w:szCs w:val="16"/>
        </w:rPr>
        <w:t>(</w:t>
      </w:r>
      <w:hyperlink r:id="rId44" w:anchor="24:4.0.3.1.3.2.5.5" w:history="1">
        <w:r w:rsidR="009368BC">
          <w:rPr>
            <w:rStyle w:val="Hyperlink"/>
            <w:sz w:val="16"/>
            <w:szCs w:val="16"/>
          </w:rPr>
          <w:t>24 CFR §903.7(o)</w:t>
        </w:r>
      </w:hyperlink>
      <w:r w:rsidR="009368BC">
        <w:rPr>
          <w:sz w:val="16"/>
          <w:szCs w:val="16"/>
        </w:rPr>
        <w:t>)</w:t>
      </w:r>
    </w:p>
    <w:p w:rsidR="009368BC" w:rsidRDefault="009368BC" w:rsidP="009368BC">
      <w:pPr>
        <w:tabs>
          <w:tab w:val="left" w:pos="360"/>
          <w:tab w:val="left" w:pos="720"/>
        </w:tabs>
        <w:rPr>
          <w:b/>
          <w:bCs/>
          <w:sz w:val="16"/>
          <w:szCs w:val="16"/>
        </w:rPr>
      </w:pPr>
    </w:p>
    <w:p w:rsidR="009368BC" w:rsidRPr="00B774DD" w:rsidRDefault="00486BAA" w:rsidP="009368BC">
      <w:pPr>
        <w:tabs>
          <w:tab w:val="left" w:pos="360"/>
          <w:tab w:val="left" w:pos="720"/>
        </w:tabs>
        <w:ind w:left="720" w:hanging="450"/>
        <w:rPr>
          <w:b/>
          <w:bCs/>
          <w:sz w:val="16"/>
          <w:szCs w:val="16"/>
        </w:rPr>
      </w:pPr>
      <w:proofErr w:type="gramStart"/>
      <w:r>
        <w:rPr>
          <w:b/>
          <w:bCs/>
          <w:sz w:val="16"/>
          <w:szCs w:val="16"/>
        </w:rPr>
        <w:t>C</w:t>
      </w:r>
      <w:r w:rsidR="00BA7B8B">
        <w:rPr>
          <w:b/>
          <w:bCs/>
          <w:sz w:val="16"/>
          <w:szCs w:val="16"/>
        </w:rPr>
        <w:t>.</w:t>
      </w:r>
      <w:r>
        <w:rPr>
          <w:b/>
          <w:bCs/>
          <w:sz w:val="16"/>
          <w:szCs w:val="16"/>
        </w:rPr>
        <w:t>3</w:t>
      </w:r>
      <w:r w:rsidR="003B6D60">
        <w:rPr>
          <w:b/>
          <w:bCs/>
          <w:sz w:val="16"/>
          <w:szCs w:val="16"/>
        </w:rPr>
        <w:t xml:space="preserve">  </w:t>
      </w:r>
      <w:r w:rsidR="003B6D60">
        <w:rPr>
          <w:b/>
          <w:bCs/>
          <w:sz w:val="16"/>
          <w:szCs w:val="16"/>
        </w:rPr>
        <w:tab/>
      </w:r>
      <w:proofErr w:type="gramEnd"/>
      <w:r w:rsidR="009368BC" w:rsidRPr="00954D20">
        <w:rPr>
          <w:b/>
          <w:iCs/>
          <w:sz w:val="16"/>
          <w:szCs w:val="16"/>
        </w:rPr>
        <w:t>R</w:t>
      </w:r>
      <w:r w:rsidR="009368BC" w:rsidRPr="00954D20">
        <w:rPr>
          <w:b/>
          <w:sz w:val="16"/>
          <w:szCs w:val="16"/>
        </w:rPr>
        <w:t>esident Advisory Board (RAB) comments</w:t>
      </w:r>
      <w:r w:rsidR="009368BC" w:rsidRPr="00F621D9">
        <w:rPr>
          <w:sz w:val="16"/>
          <w:szCs w:val="16"/>
        </w:rPr>
        <w:t>.</w:t>
      </w:r>
      <w:r w:rsidR="009368BC">
        <w:rPr>
          <w:b/>
          <w:bCs/>
          <w:sz w:val="16"/>
          <w:szCs w:val="16"/>
        </w:rPr>
        <w:t xml:space="preserve"> </w:t>
      </w:r>
      <w:r w:rsidR="009368BC">
        <w:rPr>
          <w:bCs/>
          <w:sz w:val="16"/>
          <w:szCs w:val="16"/>
        </w:rPr>
        <w:t>If the RAB provided comments to the annual plan, mark “yes,”</w:t>
      </w:r>
      <w:r w:rsidR="009368BC">
        <w:rPr>
          <w:sz w:val="16"/>
          <w:szCs w:val="16"/>
        </w:rPr>
        <w:t xml:space="preserve"> submit the comments as an attachment to the Plan and describe the analysis of the comments and the PHA’s decision made on these recommendations. </w:t>
      </w:r>
      <w:r w:rsidR="009368BC" w:rsidRPr="00BE5FE4">
        <w:rPr>
          <w:bCs/>
          <w:sz w:val="16"/>
          <w:szCs w:val="16"/>
        </w:rPr>
        <w:t>(</w:t>
      </w:r>
      <w:hyperlink r:id="rId45" w:anchor="24:4.0.3.1.3.2.5.9" w:history="1">
        <w:r w:rsidR="009368BC">
          <w:rPr>
            <w:rStyle w:val="Hyperlink"/>
            <w:bCs/>
            <w:sz w:val="16"/>
            <w:szCs w:val="16"/>
          </w:rPr>
          <w:t>24 CFR §903.13(c</w:t>
        </w:r>
        <w:r w:rsidR="009368BC" w:rsidRPr="00D30C26">
          <w:rPr>
            <w:rStyle w:val="Hyperlink"/>
            <w:bCs/>
            <w:sz w:val="16"/>
            <w:szCs w:val="16"/>
          </w:rPr>
          <w:t>)</w:t>
        </w:r>
      </w:hyperlink>
      <w:r w:rsidR="009368BC" w:rsidRPr="00D30C26">
        <w:rPr>
          <w:sz w:val="16"/>
          <w:szCs w:val="16"/>
        </w:rPr>
        <w:t xml:space="preserve">, </w:t>
      </w:r>
      <w:hyperlink r:id="rId46" w:anchor="24:4.0.3.1.3.2.5.12" w:history="1">
        <w:r w:rsidR="009368BC" w:rsidRPr="00BE417F">
          <w:rPr>
            <w:rStyle w:val="Hyperlink"/>
            <w:sz w:val="16"/>
            <w:szCs w:val="16"/>
          </w:rPr>
          <w:t>24 CFR §903.19</w:t>
        </w:r>
      </w:hyperlink>
      <w:r w:rsidR="009368BC" w:rsidRPr="00D30C26">
        <w:rPr>
          <w:bCs/>
          <w:sz w:val="16"/>
          <w:szCs w:val="16"/>
        </w:rPr>
        <w:t>)</w:t>
      </w:r>
      <w:r w:rsidR="009368BC">
        <w:rPr>
          <w:bCs/>
          <w:sz w:val="16"/>
          <w:szCs w:val="16"/>
        </w:rPr>
        <w:t xml:space="preserve">  </w:t>
      </w:r>
    </w:p>
    <w:p w:rsidR="009368BC" w:rsidRDefault="009368BC" w:rsidP="009368BC">
      <w:pPr>
        <w:tabs>
          <w:tab w:val="left" w:pos="720"/>
        </w:tabs>
        <w:rPr>
          <w:sz w:val="16"/>
          <w:szCs w:val="16"/>
        </w:rPr>
      </w:pPr>
    </w:p>
    <w:p w:rsidR="009368BC" w:rsidRPr="00727895" w:rsidRDefault="00486BAA" w:rsidP="009368BC">
      <w:pPr>
        <w:tabs>
          <w:tab w:val="left" w:pos="720"/>
        </w:tabs>
        <w:ind w:left="720" w:hanging="450"/>
        <w:rPr>
          <w:iCs/>
          <w:sz w:val="16"/>
          <w:szCs w:val="16"/>
        </w:rPr>
      </w:pPr>
      <w:r>
        <w:rPr>
          <w:b/>
          <w:sz w:val="16"/>
          <w:szCs w:val="16"/>
        </w:rPr>
        <w:t>C</w:t>
      </w:r>
      <w:r w:rsidR="00BA7B8B">
        <w:rPr>
          <w:b/>
          <w:sz w:val="16"/>
          <w:szCs w:val="16"/>
        </w:rPr>
        <w:t>.</w:t>
      </w:r>
      <w:r>
        <w:rPr>
          <w:b/>
          <w:sz w:val="16"/>
          <w:szCs w:val="16"/>
        </w:rPr>
        <w:t>4</w:t>
      </w:r>
      <w:r w:rsidR="009368BC">
        <w:rPr>
          <w:iCs/>
          <w:sz w:val="16"/>
          <w:szCs w:val="16"/>
        </w:rPr>
        <w:t xml:space="preserve"> </w:t>
      </w:r>
      <w:r w:rsidR="009368BC">
        <w:rPr>
          <w:iCs/>
          <w:sz w:val="16"/>
          <w:szCs w:val="16"/>
        </w:rPr>
        <w:tab/>
      </w:r>
      <w:r w:rsidR="009368BC" w:rsidRPr="00A4162C">
        <w:rPr>
          <w:b/>
          <w:iCs/>
          <w:sz w:val="16"/>
          <w:szCs w:val="16"/>
        </w:rPr>
        <w:t>Certification by State o</w:t>
      </w:r>
      <w:r w:rsidR="001C733C">
        <w:rPr>
          <w:b/>
          <w:iCs/>
          <w:sz w:val="16"/>
          <w:szCs w:val="16"/>
        </w:rPr>
        <w:t>r</w:t>
      </w:r>
      <w:r w:rsidR="009368BC" w:rsidRPr="00A4162C">
        <w:rPr>
          <w:b/>
          <w:iCs/>
          <w:sz w:val="16"/>
          <w:szCs w:val="16"/>
        </w:rPr>
        <w:t xml:space="preserve"> Local Officials.</w:t>
      </w:r>
      <w:r w:rsidR="009368BC">
        <w:rPr>
          <w:iCs/>
          <w:sz w:val="16"/>
          <w:szCs w:val="16"/>
        </w:rPr>
        <w:t xml:space="preserve">  Form HUD-50077-SL, </w:t>
      </w:r>
      <w:r w:rsidR="009368BC">
        <w:rPr>
          <w:i/>
          <w:iCs/>
          <w:sz w:val="16"/>
          <w:szCs w:val="16"/>
        </w:rPr>
        <w:t>Certification by State or Local Officials of PHA Plans Consistency with the Consolidated Plan</w:t>
      </w:r>
      <w:r w:rsidR="009368BC">
        <w:rPr>
          <w:iCs/>
          <w:sz w:val="16"/>
          <w:szCs w:val="16"/>
        </w:rPr>
        <w:t>, must be submitted by the PHA as an electronic attachment to the PHA Plan.</w:t>
      </w:r>
      <w:r w:rsidR="009368BC">
        <w:rPr>
          <w:i/>
          <w:iCs/>
          <w:sz w:val="16"/>
          <w:szCs w:val="16"/>
        </w:rPr>
        <w:t xml:space="preserve"> </w:t>
      </w:r>
      <w:r w:rsidR="009368BC">
        <w:rPr>
          <w:sz w:val="16"/>
          <w:szCs w:val="16"/>
        </w:rPr>
        <w:t>(</w:t>
      </w:r>
      <w:hyperlink r:id="rId47" w:anchor="24:4.0.3.1.3.2.5.10" w:history="1">
        <w:r w:rsidR="009368BC">
          <w:rPr>
            <w:rStyle w:val="Hyperlink"/>
            <w:sz w:val="16"/>
            <w:szCs w:val="16"/>
          </w:rPr>
          <w:t>24 CFR §903.15</w:t>
        </w:r>
      </w:hyperlink>
      <w:r w:rsidR="009368BC">
        <w:rPr>
          <w:sz w:val="16"/>
          <w:szCs w:val="16"/>
        </w:rPr>
        <w:t>)</w:t>
      </w:r>
    </w:p>
    <w:p w:rsidR="009368BC" w:rsidRPr="00A06D8E" w:rsidRDefault="009368BC" w:rsidP="009368BC">
      <w:pPr>
        <w:ind w:left="720"/>
        <w:rPr>
          <w:sz w:val="16"/>
          <w:szCs w:val="16"/>
        </w:rPr>
      </w:pPr>
    </w:p>
    <w:p w:rsidR="009368BC" w:rsidRPr="002B4895" w:rsidRDefault="00486BAA" w:rsidP="009368BC">
      <w:pPr>
        <w:ind w:left="270" w:hanging="270"/>
        <w:rPr>
          <w:b/>
          <w:bCs/>
          <w:color w:val="000000"/>
          <w:sz w:val="16"/>
          <w:szCs w:val="16"/>
        </w:rPr>
      </w:pPr>
      <w:r>
        <w:rPr>
          <w:b/>
          <w:color w:val="000000"/>
          <w:sz w:val="16"/>
          <w:szCs w:val="16"/>
        </w:rPr>
        <w:t>D</w:t>
      </w:r>
      <w:r w:rsidR="009368BC" w:rsidRPr="002B4895">
        <w:rPr>
          <w:b/>
          <w:color w:val="000000"/>
          <w:sz w:val="16"/>
          <w:szCs w:val="16"/>
        </w:rPr>
        <w:t xml:space="preserve">. </w:t>
      </w:r>
      <w:r w:rsidR="009368BC">
        <w:rPr>
          <w:b/>
          <w:color w:val="000000"/>
          <w:sz w:val="16"/>
          <w:szCs w:val="16"/>
        </w:rPr>
        <w:tab/>
      </w:r>
      <w:r w:rsidR="00DC042F">
        <w:rPr>
          <w:b/>
          <w:color w:val="000000"/>
          <w:sz w:val="16"/>
          <w:szCs w:val="16"/>
        </w:rPr>
        <w:t xml:space="preserve">Statement of </w:t>
      </w:r>
      <w:r w:rsidR="009368BC" w:rsidRPr="002B4895">
        <w:rPr>
          <w:rFonts w:cs="Arial"/>
          <w:b/>
          <w:bCs/>
          <w:sz w:val="16"/>
          <w:szCs w:val="16"/>
        </w:rPr>
        <w:t>Capital Improvements</w:t>
      </w:r>
      <w:r w:rsidR="009368BC" w:rsidRPr="002B4895">
        <w:rPr>
          <w:rFonts w:cs="Arial"/>
          <w:bCs/>
          <w:sz w:val="16"/>
          <w:szCs w:val="16"/>
        </w:rPr>
        <w:t xml:space="preserve">.  </w:t>
      </w:r>
      <w:r w:rsidR="009368BC" w:rsidRPr="002B4895">
        <w:rPr>
          <w:bCs/>
          <w:sz w:val="16"/>
          <w:szCs w:val="16"/>
        </w:rPr>
        <w:t xml:space="preserve"> </w:t>
      </w:r>
      <w:r w:rsidR="009368BC" w:rsidRPr="002B4895">
        <w:rPr>
          <w:rFonts w:cs="Arial"/>
          <w:bCs/>
          <w:sz w:val="16"/>
          <w:szCs w:val="16"/>
        </w:rPr>
        <w:t xml:space="preserve">PHAs </w:t>
      </w:r>
      <w:r w:rsidR="009368BC">
        <w:rPr>
          <w:rFonts w:cs="Arial"/>
          <w:bCs/>
          <w:sz w:val="16"/>
          <w:szCs w:val="16"/>
        </w:rPr>
        <w:t xml:space="preserve">that </w:t>
      </w:r>
      <w:r w:rsidR="009368BC" w:rsidRPr="002B4895">
        <w:rPr>
          <w:rFonts w:cs="Arial"/>
          <w:bCs/>
          <w:sz w:val="16"/>
          <w:szCs w:val="16"/>
        </w:rPr>
        <w:t>receive funding from the Capital Fund Program (CFP) must complete this section.</w:t>
      </w:r>
      <w:r w:rsidR="009368BC">
        <w:rPr>
          <w:rFonts w:cs="Arial"/>
          <w:bCs/>
          <w:sz w:val="16"/>
          <w:szCs w:val="16"/>
        </w:rPr>
        <w:t xml:space="preserve"> </w:t>
      </w:r>
      <w:r w:rsidR="009368BC" w:rsidRPr="00D93577">
        <w:rPr>
          <w:rFonts w:cs="Arial"/>
          <w:bCs/>
          <w:sz w:val="16"/>
          <w:szCs w:val="16"/>
        </w:rPr>
        <w:t>(</w:t>
      </w:r>
      <w:hyperlink r:id="rId48" w:anchor="24:4.0.3.1.3.2.5.5" w:history="1">
        <w:r w:rsidR="009368BC" w:rsidRPr="00D93577">
          <w:rPr>
            <w:rStyle w:val="Hyperlink"/>
            <w:rFonts w:cs="Arial"/>
            <w:bCs/>
            <w:sz w:val="16"/>
            <w:szCs w:val="16"/>
          </w:rPr>
          <w:t>24 CFR 903.7 (g)</w:t>
        </w:r>
      </w:hyperlink>
      <w:r w:rsidR="009368BC" w:rsidRPr="00D93577">
        <w:rPr>
          <w:rFonts w:cs="Arial"/>
          <w:bCs/>
          <w:sz w:val="16"/>
          <w:szCs w:val="16"/>
        </w:rPr>
        <w:t xml:space="preserve">)  </w:t>
      </w:r>
    </w:p>
    <w:p w:rsidR="009368BC" w:rsidRDefault="009368BC" w:rsidP="009368BC">
      <w:pPr>
        <w:tabs>
          <w:tab w:val="left" w:pos="1080"/>
        </w:tabs>
        <w:rPr>
          <w:i/>
          <w:iCs/>
          <w:sz w:val="16"/>
          <w:szCs w:val="16"/>
        </w:rPr>
      </w:pPr>
    </w:p>
    <w:p w:rsidR="002D4522" w:rsidRDefault="00201C8E" w:rsidP="00F359CD">
      <w:pPr>
        <w:pStyle w:val="BodyText"/>
        <w:tabs>
          <w:tab w:val="left" w:pos="2286"/>
        </w:tabs>
        <w:jc w:val="left"/>
        <w:rPr>
          <w:bCs/>
          <w:sz w:val="16"/>
          <w:szCs w:val="16"/>
        </w:rPr>
      </w:pPr>
      <w:r>
        <w:rPr>
          <w:b/>
          <w:iCs/>
          <w:sz w:val="16"/>
          <w:szCs w:val="16"/>
        </w:rPr>
        <w:t xml:space="preserve">        </w:t>
      </w:r>
      <w:r w:rsidR="00486BAA">
        <w:rPr>
          <w:b/>
          <w:iCs/>
          <w:sz w:val="16"/>
          <w:szCs w:val="16"/>
        </w:rPr>
        <w:t>D</w:t>
      </w:r>
      <w:r>
        <w:rPr>
          <w:b/>
          <w:iCs/>
          <w:sz w:val="16"/>
          <w:szCs w:val="16"/>
        </w:rPr>
        <w:t xml:space="preserve">.1   </w:t>
      </w:r>
      <w:r>
        <w:rPr>
          <w:rFonts w:cs="Arial"/>
          <w:b/>
          <w:bCs/>
          <w:sz w:val="16"/>
          <w:szCs w:val="16"/>
        </w:rPr>
        <w:t>Capital Improvements.</w:t>
      </w:r>
      <w:r>
        <w:rPr>
          <w:bCs/>
          <w:sz w:val="16"/>
          <w:szCs w:val="16"/>
        </w:rPr>
        <w:t xml:space="preserve">  </w:t>
      </w:r>
      <w:proofErr w:type="gramStart"/>
      <w:r w:rsidR="00F359CD" w:rsidRPr="00F359CD">
        <w:rPr>
          <w:bCs/>
          <w:sz w:val="16"/>
          <w:szCs w:val="16"/>
        </w:rPr>
        <w:t>In order to</w:t>
      </w:r>
      <w:proofErr w:type="gramEnd"/>
      <w:r w:rsidR="00F359CD" w:rsidRPr="00F359CD">
        <w:rPr>
          <w:bCs/>
          <w:sz w:val="16"/>
          <w:szCs w:val="16"/>
        </w:rPr>
        <w:t xml:space="preserve"> comply with this requirement, the PHA must r</w:t>
      </w:r>
      <w:r w:rsidR="002D4522">
        <w:rPr>
          <w:bCs/>
          <w:sz w:val="16"/>
          <w:szCs w:val="16"/>
        </w:rPr>
        <w:t xml:space="preserve">eference </w:t>
      </w:r>
      <w:r w:rsidR="00F359CD" w:rsidRPr="00F359CD">
        <w:rPr>
          <w:bCs/>
          <w:sz w:val="16"/>
          <w:szCs w:val="16"/>
        </w:rPr>
        <w:t xml:space="preserve">the most recent HUD approved </w:t>
      </w:r>
      <w:r w:rsidR="002D4522">
        <w:rPr>
          <w:bCs/>
          <w:sz w:val="16"/>
          <w:szCs w:val="16"/>
        </w:rPr>
        <w:t>Capital</w:t>
      </w:r>
      <w:r w:rsidR="00F359CD">
        <w:rPr>
          <w:bCs/>
          <w:sz w:val="16"/>
          <w:szCs w:val="16"/>
        </w:rPr>
        <w:t xml:space="preserve"> </w:t>
      </w:r>
      <w:r w:rsidR="00F359CD" w:rsidRPr="00F359CD">
        <w:rPr>
          <w:bCs/>
          <w:sz w:val="16"/>
          <w:szCs w:val="16"/>
        </w:rPr>
        <w:t xml:space="preserve">Fund 5 Year Action Plan. </w:t>
      </w:r>
      <w:r w:rsidR="002D4522">
        <w:rPr>
          <w:bCs/>
          <w:sz w:val="16"/>
          <w:szCs w:val="16"/>
        </w:rPr>
        <w:t xml:space="preserve"> </w:t>
      </w:r>
    </w:p>
    <w:p w:rsidR="002D4522" w:rsidRDefault="002D4522" w:rsidP="00F359CD">
      <w:pPr>
        <w:pStyle w:val="BodyText"/>
        <w:tabs>
          <w:tab w:val="left" w:pos="2286"/>
        </w:tabs>
        <w:jc w:val="left"/>
        <w:rPr>
          <w:bCs/>
          <w:sz w:val="16"/>
          <w:szCs w:val="16"/>
        </w:rPr>
      </w:pPr>
      <w:r>
        <w:rPr>
          <w:bCs/>
          <w:sz w:val="16"/>
          <w:szCs w:val="16"/>
        </w:rPr>
        <w:t xml:space="preserve">                 </w:t>
      </w:r>
      <w:r w:rsidR="00F359CD" w:rsidRPr="00F359CD">
        <w:rPr>
          <w:bCs/>
          <w:sz w:val="16"/>
          <w:szCs w:val="16"/>
        </w:rPr>
        <w:t>PHAs can reference the form by including the following language in Section C. 8.0 of the PHA Plan Template</w:t>
      </w:r>
      <w:r>
        <w:rPr>
          <w:bCs/>
          <w:sz w:val="16"/>
          <w:szCs w:val="16"/>
        </w:rPr>
        <w:t>: “See HUD Form</w:t>
      </w:r>
      <w:r w:rsidR="00F359CD">
        <w:rPr>
          <w:bCs/>
          <w:sz w:val="16"/>
          <w:szCs w:val="16"/>
        </w:rPr>
        <w:t xml:space="preserve"> </w:t>
      </w:r>
      <w:proofErr w:type="gramStart"/>
      <w:r w:rsidR="00F359CD" w:rsidRPr="00F359CD">
        <w:rPr>
          <w:bCs/>
          <w:sz w:val="16"/>
          <w:szCs w:val="16"/>
        </w:rPr>
        <w:t xml:space="preserve">50075.2 </w:t>
      </w:r>
      <w:r w:rsidR="00F359CD">
        <w:rPr>
          <w:bCs/>
          <w:sz w:val="16"/>
          <w:szCs w:val="16"/>
        </w:rPr>
        <w:t xml:space="preserve"> </w:t>
      </w:r>
      <w:r w:rsidR="00F359CD" w:rsidRPr="00F359CD">
        <w:rPr>
          <w:bCs/>
          <w:sz w:val="16"/>
          <w:szCs w:val="16"/>
        </w:rPr>
        <w:t>approved</w:t>
      </w:r>
      <w:proofErr w:type="gramEnd"/>
      <w:r w:rsidR="00F359CD" w:rsidRPr="00F359CD">
        <w:rPr>
          <w:bCs/>
          <w:sz w:val="16"/>
          <w:szCs w:val="16"/>
        </w:rPr>
        <w:t xml:space="preserve"> by HUD </w:t>
      </w:r>
    </w:p>
    <w:p w:rsidR="00201C8E" w:rsidRPr="00F359CD" w:rsidRDefault="002D4522" w:rsidP="00F359CD">
      <w:pPr>
        <w:pStyle w:val="BodyText"/>
        <w:tabs>
          <w:tab w:val="left" w:pos="2286"/>
        </w:tabs>
        <w:jc w:val="left"/>
        <w:rPr>
          <w:bCs/>
          <w:sz w:val="16"/>
          <w:szCs w:val="16"/>
        </w:rPr>
      </w:pPr>
      <w:r>
        <w:rPr>
          <w:bCs/>
          <w:sz w:val="16"/>
          <w:szCs w:val="16"/>
        </w:rPr>
        <w:t xml:space="preserve">                 </w:t>
      </w:r>
      <w:r w:rsidR="00F359CD" w:rsidRPr="00F359CD">
        <w:rPr>
          <w:bCs/>
          <w:sz w:val="16"/>
          <w:szCs w:val="16"/>
        </w:rPr>
        <w:t>on XX/XX/XXXX.”</w:t>
      </w:r>
    </w:p>
    <w:p w:rsidR="009A7457" w:rsidRDefault="009A7457" w:rsidP="00FE77BB">
      <w:pPr>
        <w:tabs>
          <w:tab w:val="left" w:pos="1080"/>
        </w:tabs>
        <w:ind w:left="630" w:hanging="360"/>
        <w:rPr>
          <w:sz w:val="16"/>
          <w:szCs w:val="16"/>
        </w:rPr>
      </w:pPr>
    </w:p>
    <w:p w:rsidR="00F359CD" w:rsidRPr="0000139B" w:rsidRDefault="00F359CD" w:rsidP="00FE77BB">
      <w:pPr>
        <w:tabs>
          <w:tab w:val="left" w:pos="1080"/>
        </w:tabs>
        <w:ind w:left="630" w:hanging="360"/>
        <w:rPr>
          <w:sz w:val="16"/>
          <w:szCs w:val="16"/>
        </w:rPr>
        <w:sectPr w:rsidR="00F359CD" w:rsidRPr="0000139B" w:rsidSect="00374DDA">
          <w:headerReference w:type="even" r:id="rId49"/>
          <w:headerReference w:type="default" r:id="rId50"/>
          <w:footerReference w:type="default" r:id="rId51"/>
          <w:headerReference w:type="first" r:id="rId52"/>
          <w:type w:val="continuous"/>
          <w:pgSz w:w="12240" w:h="15840" w:code="1"/>
          <w:pgMar w:top="720" w:right="720" w:bottom="446" w:left="720" w:header="720" w:footer="432" w:gutter="0"/>
          <w:pgNumType w:start="1"/>
          <w:cols w:space="720"/>
          <w:docGrid w:linePitch="360"/>
        </w:sectPr>
      </w:pPr>
    </w:p>
    <w:p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The </w:t>
      </w:r>
      <w:r>
        <w:rPr>
          <w:rFonts w:ascii="Cambria" w:hAnsi="Cambria"/>
          <w:sz w:val="14"/>
          <w:szCs w:val="14"/>
        </w:rPr>
        <w:t xml:space="preserve">5-Year and Annual </w:t>
      </w:r>
      <w:r w:rsidRPr="00DB54CF">
        <w:rPr>
          <w:rFonts w:ascii="Cambria" w:hAnsi="Cambria"/>
          <w:sz w:val="14"/>
          <w:szCs w:val="14"/>
        </w:rPr>
        <w:t>PHA Plan</w:t>
      </w:r>
      <w:r>
        <w:rPr>
          <w:rFonts w:ascii="Cambria" w:hAnsi="Cambria"/>
          <w:sz w:val="14"/>
          <w:szCs w:val="14"/>
        </w:rPr>
        <w:t>s</w:t>
      </w:r>
      <w:r w:rsidRPr="00DB54CF">
        <w:rPr>
          <w:rFonts w:ascii="Cambria" w:hAnsi="Cambria"/>
          <w:sz w:val="14"/>
          <w:szCs w:val="14"/>
        </w:rPr>
        <w:t xml:space="preserve"> provide </w:t>
      </w:r>
      <w:r>
        <w:rPr>
          <w:rFonts w:ascii="Cambria" w:hAnsi="Cambria"/>
          <w:sz w:val="14"/>
          <w:szCs w:val="14"/>
        </w:rPr>
        <w:t xml:space="preserve">a ready source for interested parties to locate basic PHA policies, rules, and requirements concerning the PHA’s operations, programs, and services, and informs HUD, families served by the PHA, and members of the public of the PHA’s mission, goals and objectives for serving </w:t>
      </w:r>
      <w:r w:rsidRPr="00DB54CF">
        <w:rPr>
          <w:rFonts w:ascii="Cambria" w:hAnsi="Cambria"/>
          <w:sz w:val="14"/>
          <w:szCs w:val="14"/>
        </w:rPr>
        <w:t>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rsidR="00453283" w:rsidRPr="00DB54CF" w:rsidRDefault="00453283" w:rsidP="00453283">
      <w:pPr>
        <w:pStyle w:val="Footer"/>
        <w:pBdr>
          <w:top w:val="single" w:sz="4" w:space="1" w:color="auto"/>
        </w:pBdr>
        <w:ind w:left="-540" w:right="360"/>
        <w:rPr>
          <w:rFonts w:ascii="Cambria" w:hAnsi="Cambria"/>
          <w:sz w:val="14"/>
          <w:szCs w:val="14"/>
        </w:rPr>
      </w:pPr>
    </w:p>
    <w:p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Public reporting burden for this information collection is estimated to average </w:t>
      </w:r>
      <w:r w:rsidR="005559D4">
        <w:rPr>
          <w:rFonts w:ascii="Cambria" w:hAnsi="Cambria"/>
          <w:sz w:val="14"/>
          <w:szCs w:val="14"/>
        </w:rPr>
        <w:t>16.64</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sidR="00C61895">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rsidR="00B43178" w:rsidRDefault="00B43178" w:rsidP="00453283">
      <w:pPr>
        <w:ind w:left="-540" w:right="360"/>
        <w:rPr>
          <w:rFonts w:ascii="Cambria" w:hAnsi="Cambria"/>
          <w:b/>
          <w:sz w:val="14"/>
          <w:szCs w:val="14"/>
        </w:rPr>
      </w:pPr>
    </w:p>
    <w:p w:rsidR="00453283" w:rsidRPr="00DB54CF" w:rsidRDefault="00453283" w:rsidP="00453283">
      <w:pPr>
        <w:ind w:left="-540" w:right="360"/>
        <w:rPr>
          <w:sz w:val="14"/>
          <w:szCs w:val="14"/>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w:t>
      </w:r>
      <w:proofErr w:type="gramStart"/>
      <w:r w:rsidRPr="00DB54CF">
        <w:rPr>
          <w:rFonts w:ascii="Cambria" w:hAnsi="Cambria"/>
          <w:sz w:val="14"/>
          <w:szCs w:val="14"/>
        </w:rPr>
        <w:t>by virtue of</w:t>
      </w:r>
      <w:proofErr w:type="gramEnd"/>
      <w:r w:rsidRPr="00DB54CF">
        <w:rPr>
          <w:rFonts w:ascii="Cambria" w:hAnsi="Cambria"/>
          <w:sz w:val="14"/>
          <w:szCs w:val="14"/>
        </w:rPr>
        <w:t xml:space="preserve">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rsidR="00EE11CA" w:rsidRDefault="00EE11CA" w:rsidP="00BD6EA4">
      <w:pPr>
        <w:tabs>
          <w:tab w:val="left" w:pos="360"/>
          <w:tab w:val="left" w:pos="720"/>
        </w:tabs>
        <w:rPr>
          <w:b/>
          <w:bCs/>
          <w:sz w:val="16"/>
          <w:szCs w:val="16"/>
        </w:rPr>
        <w:sectPr w:rsidR="00EE11CA" w:rsidSect="00374DDA">
          <w:type w:val="continuous"/>
          <w:pgSz w:w="12240" w:h="15840" w:code="1"/>
          <w:pgMar w:top="864" w:right="720" w:bottom="990" w:left="1350" w:header="720" w:footer="432" w:gutter="0"/>
          <w:pgNumType w:start="1"/>
          <w:cols w:space="720"/>
          <w:docGrid w:linePitch="360"/>
        </w:sectPr>
      </w:pPr>
    </w:p>
    <w:p w:rsidR="000238EE" w:rsidRDefault="000238EE" w:rsidP="002676E1"/>
    <w:sectPr w:rsidR="000238EE" w:rsidSect="000B2633">
      <w:headerReference w:type="even" r:id="rId53"/>
      <w:headerReference w:type="default" r:id="rId54"/>
      <w:footerReference w:type="default" r:id="rId55"/>
      <w:headerReference w:type="first" r:id="rId56"/>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80" w:rsidRDefault="00CD3E80" w:rsidP="000238EE">
      <w:r>
        <w:separator/>
      </w:r>
    </w:p>
  </w:endnote>
  <w:endnote w:type="continuationSeparator" w:id="0">
    <w:p w:rsidR="00CD3E80" w:rsidRDefault="00CD3E80" w:rsidP="000238EE">
      <w:r>
        <w:continuationSeparator/>
      </w:r>
    </w:p>
  </w:endnote>
  <w:endnote w:type="continuationNotice" w:id="1">
    <w:p w:rsidR="00CD3E80" w:rsidRDefault="00CD3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1BC7" w:rsidRDefault="00581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Footer"/>
      <w:jc w:val="center"/>
      <w:rPr>
        <w:sz w:val="16"/>
        <w:szCs w:val="16"/>
      </w:rPr>
    </w:pPr>
  </w:p>
  <w:p w:rsidR="00581BC7" w:rsidRDefault="00581BC7" w:rsidP="00BD6EA4">
    <w:pPr>
      <w:pStyle w:val="Footer"/>
      <w:pBdr>
        <w:top w:val="single" w:sz="4" w:space="1" w:color="auto"/>
      </w:pBdr>
      <w:jc w:val="center"/>
      <w:rPr>
        <w:sz w:val="16"/>
        <w:szCs w:val="16"/>
      </w:rPr>
    </w:pPr>
  </w:p>
  <w:p w:rsidR="00581BC7" w:rsidRPr="00BD6EA4" w:rsidRDefault="00581BC7"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5</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8</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-HP</w:t>
    </w:r>
    <w:r>
      <w:rPr>
        <w:sz w:val="16"/>
        <w:szCs w:val="16"/>
      </w:rPr>
      <w:t xml:space="preserve"> (8/2014)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rsidP="00E101DA">
    <w:pPr>
      <w:pStyle w:val="Footer"/>
      <w:tabs>
        <w:tab w:val="clear" w:pos="8640"/>
      </w:tabs>
      <w:ind w:right="126"/>
      <w:rPr>
        <w:sz w:val="16"/>
      </w:rPr>
    </w:pPr>
  </w:p>
  <w:p w:rsidR="00581BC7" w:rsidRPr="00BD6EA4" w:rsidRDefault="00581BC7"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374DDA">
      <w:rPr>
        <w:sz w:val="16"/>
        <w:szCs w:val="16"/>
      </w:rPr>
      <w:fldChar w:fldCharType="begin"/>
    </w:r>
    <w:r w:rsidRPr="00374DDA">
      <w:rPr>
        <w:sz w:val="16"/>
        <w:szCs w:val="16"/>
      </w:rPr>
      <w:instrText xml:space="preserve"> PAGE </w:instrText>
    </w:r>
    <w:r w:rsidRPr="00374DDA">
      <w:rPr>
        <w:sz w:val="16"/>
        <w:szCs w:val="16"/>
      </w:rPr>
      <w:fldChar w:fldCharType="separate"/>
    </w:r>
    <w:r w:rsidR="00B22218">
      <w:rPr>
        <w:noProof/>
        <w:sz w:val="16"/>
        <w:szCs w:val="16"/>
      </w:rPr>
      <w:t>1</w:t>
    </w:r>
    <w:r w:rsidRPr="00374DDA">
      <w:rPr>
        <w:sz w:val="16"/>
        <w:szCs w:val="16"/>
      </w:rPr>
      <w:fldChar w:fldCharType="end"/>
    </w:r>
    <w:r w:rsidRPr="00BD6EA4">
      <w:rPr>
        <w:sz w:val="16"/>
        <w:szCs w:val="16"/>
      </w:rPr>
      <w:t xml:space="preserve"> of </w:t>
    </w:r>
    <w:r>
      <w:rPr>
        <w:sz w:val="16"/>
        <w:szCs w:val="16"/>
      </w:rPr>
      <w:t>5</w:t>
    </w:r>
    <w:r>
      <w:rPr>
        <w:b/>
        <w:sz w:val="16"/>
        <w:szCs w:val="16"/>
      </w:rPr>
      <w:t xml:space="preserve">                              </w:t>
    </w:r>
    <w:r>
      <w:rPr>
        <w:sz w:val="16"/>
        <w:szCs w:val="16"/>
      </w:rPr>
      <w:t xml:space="preserve">                                  </w:t>
    </w:r>
    <w:r w:rsidRPr="00BD6EA4">
      <w:rPr>
        <w:b/>
        <w:sz w:val="16"/>
        <w:szCs w:val="16"/>
      </w:rPr>
      <w:t>form HUD-50075</w:t>
    </w:r>
    <w:r>
      <w:rPr>
        <w:b/>
        <w:sz w:val="16"/>
        <w:szCs w:val="16"/>
      </w:rPr>
      <w:t>-HP</w:t>
    </w:r>
    <w:r>
      <w:rPr>
        <w:sz w:val="16"/>
        <w:szCs w:val="16"/>
      </w:rPr>
      <w:t xml:space="preserve"> (12/2014)</w:t>
    </w:r>
  </w:p>
  <w:p w:rsidR="00581BC7" w:rsidRDefault="00581BC7" w:rsidP="0010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rsidP="00374DDA">
    <w:pPr>
      <w:pStyle w:val="Footer"/>
      <w:tabs>
        <w:tab w:val="clear" w:pos="8640"/>
      </w:tabs>
      <w:ind w:right="126"/>
      <w:rPr>
        <w:sz w:val="16"/>
      </w:rPr>
    </w:pPr>
  </w:p>
  <w:p w:rsidR="00581BC7" w:rsidRPr="00BD6EA4" w:rsidRDefault="00581BC7" w:rsidP="00374D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374DDA">
      <w:rPr>
        <w:sz w:val="16"/>
        <w:szCs w:val="16"/>
      </w:rPr>
      <w:fldChar w:fldCharType="begin"/>
    </w:r>
    <w:r w:rsidRPr="00374DDA">
      <w:rPr>
        <w:sz w:val="16"/>
        <w:szCs w:val="16"/>
      </w:rPr>
      <w:instrText xml:space="preserve"> PAGE </w:instrText>
    </w:r>
    <w:r w:rsidRPr="00374DDA">
      <w:rPr>
        <w:sz w:val="16"/>
        <w:szCs w:val="16"/>
      </w:rPr>
      <w:fldChar w:fldCharType="separate"/>
    </w:r>
    <w:r w:rsidR="00B22218">
      <w:rPr>
        <w:noProof/>
        <w:sz w:val="16"/>
        <w:szCs w:val="16"/>
      </w:rPr>
      <w:t>7</w:t>
    </w:r>
    <w:r w:rsidRPr="00374DDA">
      <w:rPr>
        <w:sz w:val="16"/>
        <w:szCs w:val="16"/>
      </w:rPr>
      <w:fldChar w:fldCharType="end"/>
    </w:r>
    <w:r w:rsidRPr="00BD6EA4">
      <w:rPr>
        <w:sz w:val="16"/>
        <w:szCs w:val="16"/>
      </w:rPr>
      <w:t xml:space="preserve"> of </w:t>
    </w:r>
    <w:r>
      <w:rPr>
        <w:sz w:val="16"/>
        <w:szCs w:val="16"/>
      </w:rPr>
      <w:t>5</w:t>
    </w:r>
    <w:r>
      <w:rPr>
        <w:b/>
        <w:sz w:val="16"/>
        <w:szCs w:val="16"/>
      </w:rPr>
      <w:t xml:space="preserve">                              </w:t>
    </w:r>
    <w:r>
      <w:rPr>
        <w:sz w:val="16"/>
        <w:szCs w:val="16"/>
      </w:rPr>
      <w:t xml:space="preserve">                                  </w:t>
    </w:r>
    <w:r w:rsidRPr="00BD6EA4">
      <w:rPr>
        <w:b/>
        <w:sz w:val="16"/>
        <w:szCs w:val="16"/>
      </w:rPr>
      <w:t>form HUD-50075</w:t>
    </w:r>
    <w:r>
      <w:rPr>
        <w:b/>
        <w:sz w:val="16"/>
        <w:szCs w:val="16"/>
      </w:rPr>
      <w:t>-HP</w:t>
    </w:r>
    <w:r>
      <w:rPr>
        <w:sz w:val="16"/>
        <w:szCs w:val="16"/>
      </w:rPr>
      <w:t xml:space="preserve"> (12/2014)</w:t>
    </w:r>
  </w:p>
  <w:p w:rsidR="00581BC7" w:rsidRPr="00FE77BB" w:rsidRDefault="00581BC7" w:rsidP="00FE77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Pr="00A035A8" w:rsidRDefault="00581BC7" w:rsidP="00A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80" w:rsidRDefault="00CD3E80" w:rsidP="000238EE">
      <w:r>
        <w:separator/>
      </w:r>
    </w:p>
  </w:footnote>
  <w:footnote w:type="continuationSeparator" w:id="0">
    <w:p w:rsidR="00CD3E80" w:rsidRDefault="00CD3E80" w:rsidP="000238EE">
      <w:r>
        <w:continuationSeparator/>
      </w:r>
    </w:p>
  </w:footnote>
  <w:footnote w:type="continuationNotice" w:id="1">
    <w:p w:rsidR="00CD3E80" w:rsidRDefault="00CD3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1BC7" w:rsidRDefault="0058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342" w:type="dxa"/>
      <w:tblLayout w:type="fixed"/>
      <w:tblLook w:val="0000" w:firstRow="0" w:lastRow="0" w:firstColumn="0" w:lastColumn="0" w:noHBand="0" w:noVBand="0"/>
    </w:tblPr>
    <w:tblGrid>
      <w:gridCol w:w="3240"/>
      <w:gridCol w:w="4950"/>
      <w:gridCol w:w="2070"/>
    </w:tblGrid>
    <w:tr w:rsidR="00581BC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581BC7" w:rsidRDefault="00581BC7"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rsidR="00581BC7" w:rsidRPr="00611E36" w:rsidRDefault="00581BC7"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581BC7" w:rsidRDefault="00581BC7"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581BC7" w:rsidRPr="00611E36" w:rsidRDefault="00581BC7" w:rsidP="00601D47">
          <w:pPr>
            <w:pStyle w:val="Footer"/>
            <w:ind w:right="-324"/>
            <w:rPr>
              <w:b/>
              <w:bCs/>
              <w:sz w:val="20"/>
              <w:szCs w:val="20"/>
            </w:rPr>
          </w:pPr>
          <w:r w:rsidRPr="00611E36">
            <w:rPr>
              <w:b/>
              <w:bCs/>
              <w:sz w:val="20"/>
              <w:szCs w:val="20"/>
            </w:rPr>
            <w:t>OMB No. 2577-0226</w:t>
          </w:r>
        </w:p>
        <w:p w:rsidR="00581BC7" w:rsidRPr="005D1505" w:rsidRDefault="00581BC7" w:rsidP="00601D47">
          <w:pPr>
            <w:pStyle w:val="Footer"/>
            <w:jc w:val="right"/>
            <w:rPr>
              <w:b/>
              <w:bCs/>
            </w:rPr>
          </w:pPr>
          <w:r w:rsidRPr="00611E36">
            <w:rPr>
              <w:b/>
              <w:bCs/>
              <w:sz w:val="20"/>
              <w:szCs w:val="20"/>
            </w:rPr>
            <w:t>Expires XX/XX/XXXX</w:t>
          </w:r>
          <w:r w:rsidRPr="005D1505">
            <w:rPr>
              <w:b/>
              <w:bCs/>
              <w:sz w:val="22"/>
              <w:szCs w:val="22"/>
            </w:rPr>
            <w:t xml:space="preserve"> </w:t>
          </w:r>
        </w:p>
      </w:tc>
    </w:tr>
  </w:tbl>
  <w:p w:rsidR="00581BC7" w:rsidRDefault="00581BC7">
    <w:pPr>
      <w:pStyle w:val="Header"/>
      <w:rPr>
        <w:sz w:val="18"/>
        <w:szCs w:val="18"/>
      </w:rPr>
    </w:pPr>
    <w:r>
      <w:rPr>
        <w:sz w:val="18"/>
        <w:szCs w:val="18"/>
      </w:rPr>
      <w:t xml:space="preserve">                                                       </w:t>
    </w:r>
  </w:p>
  <w:p w:rsidR="00581BC7" w:rsidRDefault="00581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342" w:type="dxa"/>
      <w:tblLayout w:type="fixed"/>
      <w:tblLook w:val="0000" w:firstRow="0" w:lastRow="0" w:firstColumn="0" w:lastColumn="0" w:noHBand="0" w:noVBand="0"/>
    </w:tblPr>
    <w:tblGrid>
      <w:gridCol w:w="3240"/>
      <w:gridCol w:w="4950"/>
      <w:gridCol w:w="2070"/>
    </w:tblGrid>
    <w:tr w:rsidR="00581BC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581BC7" w:rsidRDefault="00581BC7" w:rsidP="00277C0E">
          <w:pPr>
            <w:pStyle w:val="Footer"/>
            <w:rPr>
              <w:b/>
              <w:sz w:val="32"/>
              <w:szCs w:val="32"/>
            </w:rPr>
          </w:pPr>
          <w:r>
            <w:rPr>
              <w:b/>
              <w:sz w:val="32"/>
              <w:szCs w:val="32"/>
            </w:rPr>
            <w:t xml:space="preserve">Streamlined Annual PHA Plan </w:t>
          </w:r>
        </w:p>
        <w:p w:rsidR="00581BC7" w:rsidRPr="009D3311" w:rsidRDefault="00581BC7" w:rsidP="00C17144">
          <w:pPr>
            <w:pStyle w:val="Footer"/>
            <w:rPr>
              <w:b/>
              <w:i/>
              <w:sz w:val="32"/>
              <w:szCs w:val="32"/>
            </w:rPr>
          </w:pPr>
          <w:r w:rsidRPr="00FE77BB">
            <w:rPr>
              <w:b/>
              <w:i/>
              <w:sz w:val="28"/>
            </w:rPr>
            <w:t>(High Performer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rsidR="00581BC7" w:rsidRPr="00611E36" w:rsidRDefault="00581BC7"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581BC7" w:rsidRDefault="00581BC7"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581BC7" w:rsidRPr="00611E36" w:rsidRDefault="00581BC7" w:rsidP="00601D47">
          <w:pPr>
            <w:pStyle w:val="Footer"/>
            <w:ind w:right="-324"/>
            <w:rPr>
              <w:b/>
              <w:bCs/>
              <w:sz w:val="20"/>
              <w:szCs w:val="20"/>
            </w:rPr>
          </w:pPr>
          <w:r w:rsidRPr="00611E36">
            <w:rPr>
              <w:b/>
              <w:bCs/>
              <w:sz w:val="20"/>
              <w:szCs w:val="20"/>
            </w:rPr>
            <w:t xml:space="preserve">OMB No. </w:t>
          </w:r>
          <w:r>
            <w:rPr>
              <w:b/>
              <w:bCs/>
              <w:sz w:val="20"/>
              <w:szCs w:val="20"/>
            </w:rPr>
            <w:t>2577-0226</w:t>
          </w:r>
        </w:p>
        <w:p w:rsidR="00581BC7" w:rsidRPr="005D1505" w:rsidRDefault="00581BC7" w:rsidP="00374DDA">
          <w:pPr>
            <w:pStyle w:val="Footer"/>
            <w:rPr>
              <w:b/>
              <w:bCs/>
            </w:rPr>
          </w:pPr>
          <w:r>
            <w:rPr>
              <w:b/>
              <w:bCs/>
              <w:sz w:val="20"/>
              <w:szCs w:val="20"/>
            </w:rPr>
            <w:t>Expires:  02/29/2016</w:t>
          </w:r>
          <w:r w:rsidRPr="005D1505">
            <w:rPr>
              <w:b/>
              <w:bCs/>
              <w:sz w:val="22"/>
              <w:szCs w:val="22"/>
            </w:rPr>
            <w:t xml:space="preserve"> </w:t>
          </w:r>
        </w:p>
      </w:tc>
    </w:tr>
  </w:tbl>
  <w:p w:rsidR="00581BC7" w:rsidRDefault="00581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C7" w:rsidRDefault="0058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40823"/>
    <w:multiLevelType w:val="hybridMultilevel"/>
    <w:tmpl w:val="9C4ED558"/>
    <w:lvl w:ilvl="0" w:tplc="FFFFFFFF">
      <w:start w:val="1"/>
      <w:numFmt w:val="bullet"/>
      <w:pStyle w:val="Level1Bullet"/>
      <w:lvlText w:val=""/>
      <w:lvlJc w:val="left"/>
      <w:pPr>
        <w:tabs>
          <w:tab w:val="num" w:pos="720"/>
        </w:tabs>
        <w:ind w:left="720" w:hanging="72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9"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1" w15:restartNumberingAfterBreak="0">
    <w:nsid w:val="5F940C9C"/>
    <w:multiLevelType w:val="hybridMultilevel"/>
    <w:tmpl w:val="62DAE47C"/>
    <w:lvl w:ilvl="0" w:tplc="DD884FD8">
      <w:start w:val="1"/>
      <w:numFmt w:val="bullet"/>
      <w:pStyle w:val="MarginBulletCharChar"/>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5"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6"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2"/>
  </w:num>
  <w:num w:numId="3">
    <w:abstractNumId w:val="27"/>
  </w:num>
  <w:num w:numId="4">
    <w:abstractNumId w:val="15"/>
  </w:num>
  <w:num w:numId="5">
    <w:abstractNumId w:val="25"/>
  </w:num>
  <w:num w:numId="6">
    <w:abstractNumId w:val="20"/>
  </w:num>
  <w:num w:numId="7">
    <w:abstractNumId w:val="2"/>
  </w:num>
  <w:num w:numId="8">
    <w:abstractNumId w:val="8"/>
  </w:num>
  <w:num w:numId="9">
    <w:abstractNumId w:val="14"/>
  </w:num>
  <w:num w:numId="10">
    <w:abstractNumId w:val="12"/>
  </w:num>
  <w:num w:numId="11">
    <w:abstractNumId w:val="10"/>
  </w:num>
  <w:num w:numId="12">
    <w:abstractNumId w:val="9"/>
  </w:num>
  <w:num w:numId="13">
    <w:abstractNumId w:val="13"/>
  </w:num>
  <w:num w:numId="14">
    <w:abstractNumId w:val="7"/>
  </w:num>
  <w:num w:numId="15">
    <w:abstractNumId w:val="16"/>
  </w:num>
  <w:num w:numId="16">
    <w:abstractNumId w:val="18"/>
  </w:num>
  <w:num w:numId="17">
    <w:abstractNumId w:val="3"/>
  </w:num>
  <w:num w:numId="18">
    <w:abstractNumId w:val="19"/>
  </w:num>
  <w:num w:numId="19">
    <w:abstractNumId w:val="4"/>
  </w:num>
  <w:num w:numId="20">
    <w:abstractNumId w:val="23"/>
  </w:num>
  <w:num w:numId="21">
    <w:abstractNumId w:val="17"/>
  </w:num>
  <w:num w:numId="22">
    <w:abstractNumId w:val="0"/>
  </w:num>
  <w:num w:numId="23">
    <w:abstractNumId w:val="26"/>
  </w:num>
  <w:num w:numId="24">
    <w:abstractNumId w:val="11"/>
  </w:num>
  <w:num w:numId="25">
    <w:abstractNumId w:val="1"/>
  </w:num>
  <w:num w:numId="26">
    <w:abstractNumId w:val="29"/>
  </w:num>
  <w:num w:numId="27">
    <w:abstractNumId w:val="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5"/>
    <w:rsid w:val="0000139B"/>
    <w:rsid w:val="00011259"/>
    <w:rsid w:val="00013B32"/>
    <w:rsid w:val="000238EE"/>
    <w:rsid w:val="0003413F"/>
    <w:rsid w:val="00044431"/>
    <w:rsid w:val="00056965"/>
    <w:rsid w:val="00065FB7"/>
    <w:rsid w:val="00070754"/>
    <w:rsid w:val="0007149A"/>
    <w:rsid w:val="0008058D"/>
    <w:rsid w:val="00085E38"/>
    <w:rsid w:val="00090986"/>
    <w:rsid w:val="000A0235"/>
    <w:rsid w:val="000A0CB8"/>
    <w:rsid w:val="000B2633"/>
    <w:rsid w:val="000C4966"/>
    <w:rsid w:val="000D0BFC"/>
    <w:rsid w:val="000D132F"/>
    <w:rsid w:val="000D38AD"/>
    <w:rsid w:val="000D6380"/>
    <w:rsid w:val="000E323A"/>
    <w:rsid w:val="000E3FCB"/>
    <w:rsid w:val="000E63B9"/>
    <w:rsid w:val="000E6B54"/>
    <w:rsid w:val="000F1838"/>
    <w:rsid w:val="0010152F"/>
    <w:rsid w:val="00101FBD"/>
    <w:rsid w:val="00102A2D"/>
    <w:rsid w:val="001144BE"/>
    <w:rsid w:val="0011669F"/>
    <w:rsid w:val="00120DDF"/>
    <w:rsid w:val="00121C3E"/>
    <w:rsid w:val="00122251"/>
    <w:rsid w:val="001268A9"/>
    <w:rsid w:val="00132553"/>
    <w:rsid w:val="00132CE4"/>
    <w:rsid w:val="00134B49"/>
    <w:rsid w:val="00137186"/>
    <w:rsid w:val="0015030A"/>
    <w:rsid w:val="0015270F"/>
    <w:rsid w:val="00161197"/>
    <w:rsid w:val="001639AF"/>
    <w:rsid w:val="001729E9"/>
    <w:rsid w:val="001866D0"/>
    <w:rsid w:val="001878FE"/>
    <w:rsid w:val="00187C81"/>
    <w:rsid w:val="001A3686"/>
    <w:rsid w:val="001A5D3D"/>
    <w:rsid w:val="001C0D55"/>
    <w:rsid w:val="001C1CA0"/>
    <w:rsid w:val="001C5EE4"/>
    <w:rsid w:val="001C733C"/>
    <w:rsid w:val="001D2705"/>
    <w:rsid w:val="001D564E"/>
    <w:rsid w:val="001E5622"/>
    <w:rsid w:val="001E7DFE"/>
    <w:rsid w:val="001F00D4"/>
    <w:rsid w:val="001F048A"/>
    <w:rsid w:val="001F04B2"/>
    <w:rsid w:val="001F20FD"/>
    <w:rsid w:val="001F7664"/>
    <w:rsid w:val="00201C8E"/>
    <w:rsid w:val="00221291"/>
    <w:rsid w:val="00226BBF"/>
    <w:rsid w:val="00234661"/>
    <w:rsid w:val="002518C0"/>
    <w:rsid w:val="00254FB5"/>
    <w:rsid w:val="00260F43"/>
    <w:rsid w:val="00263FB2"/>
    <w:rsid w:val="002645F8"/>
    <w:rsid w:val="002676E1"/>
    <w:rsid w:val="00273E0A"/>
    <w:rsid w:val="00274E7C"/>
    <w:rsid w:val="00277C0E"/>
    <w:rsid w:val="00287354"/>
    <w:rsid w:val="00293F5A"/>
    <w:rsid w:val="002952F0"/>
    <w:rsid w:val="002A030A"/>
    <w:rsid w:val="002A6C7F"/>
    <w:rsid w:val="002B017E"/>
    <w:rsid w:val="002B37CC"/>
    <w:rsid w:val="002B4ED6"/>
    <w:rsid w:val="002C3798"/>
    <w:rsid w:val="002C7612"/>
    <w:rsid w:val="002D4522"/>
    <w:rsid w:val="002D49BB"/>
    <w:rsid w:val="002E004B"/>
    <w:rsid w:val="002E6347"/>
    <w:rsid w:val="003003C6"/>
    <w:rsid w:val="00306A96"/>
    <w:rsid w:val="0032193C"/>
    <w:rsid w:val="00325506"/>
    <w:rsid w:val="00341FBA"/>
    <w:rsid w:val="00342599"/>
    <w:rsid w:val="00363B42"/>
    <w:rsid w:val="00365123"/>
    <w:rsid w:val="0036791B"/>
    <w:rsid w:val="00373769"/>
    <w:rsid w:val="00374DDA"/>
    <w:rsid w:val="00383962"/>
    <w:rsid w:val="003867E2"/>
    <w:rsid w:val="00397EE2"/>
    <w:rsid w:val="003A0EF0"/>
    <w:rsid w:val="003A3224"/>
    <w:rsid w:val="003A398A"/>
    <w:rsid w:val="003A6D05"/>
    <w:rsid w:val="003A7F6D"/>
    <w:rsid w:val="003B0EE6"/>
    <w:rsid w:val="003B3AA5"/>
    <w:rsid w:val="003B511B"/>
    <w:rsid w:val="003B6D60"/>
    <w:rsid w:val="003C1160"/>
    <w:rsid w:val="003C5445"/>
    <w:rsid w:val="003C6624"/>
    <w:rsid w:val="003D16EA"/>
    <w:rsid w:val="003E2D0D"/>
    <w:rsid w:val="003F6840"/>
    <w:rsid w:val="004014F3"/>
    <w:rsid w:val="00402AD8"/>
    <w:rsid w:val="00413544"/>
    <w:rsid w:val="00415AB6"/>
    <w:rsid w:val="004174F8"/>
    <w:rsid w:val="00417504"/>
    <w:rsid w:val="00431CB6"/>
    <w:rsid w:val="00433357"/>
    <w:rsid w:val="0043459B"/>
    <w:rsid w:val="00434FE2"/>
    <w:rsid w:val="004468BA"/>
    <w:rsid w:val="004517C0"/>
    <w:rsid w:val="00452354"/>
    <w:rsid w:val="00452675"/>
    <w:rsid w:val="00453283"/>
    <w:rsid w:val="00456F56"/>
    <w:rsid w:val="00460B73"/>
    <w:rsid w:val="00466AAF"/>
    <w:rsid w:val="0047344A"/>
    <w:rsid w:val="00477BCF"/>
    <w:rsid w:val="004830DA"/>
    <w:rsid w:val="00486BAA"/>
    <w:rsid w:val="00491EF5"/>
    <w:rsid w:val="004940BB"/>
    <w:rsid w:val="004A0C53"/>
    <w:rsid w:val="004A52B1"/>
    <w:rsid w:val="004B1577"/>
    <w:rsid w:val="004B2B5F"/>
    <w:rsid w:val="004B71AB"/>
    <w:rsid w:val="004D165B"/>
    <w:rsid w:val="004D5EBD"/>
    <w:rsid w:val="004D5F68"/>
    <w:rsid w:val="004D6449"/>
    <w:rsid w:val="004D7861"/>
    <w:rsid w:val="004E0D20"/>
    <w:rsid w:val="004E196C"/>
    <w:rsid w:val="004E4B0F"/>
    <w:rsid w:val="004E5848"/>
    <w:rsid w:val="004E6879"/>
    <w:rsid w:val="00501A0E"/>
    <w:rsid w:val="0050509F"/>
    <w:rsid w:val="00510233"/>
    <w:rsid w:val="00520CE0"/>
    <w:rsid w:val="00523553"/>
    <w:rsid w:val="00524E62"/>
    <w:rsid w:val="0053489D"/>
    <w:rsid w:val="00537DFC"/>
    <w:rsid w:val="005425E5"/>
    <w:rsid w:val="005446C7"/>
    <w:rsid w:val="005559D4"/>
    <w:rsid w:val="0055726B"/>
    <w:rsid w:val="005634D3"/>
    <w:rsid w:val="005705B8"/>
    <w:rsid w:val="00575518"/>
    <w:rsid w:val="00575BBB"/>
    <w:rsid w:val="00581BC7"/>
    <w:rsid w:val="005836CF"/>
    <w:rsid w:val="00595125"/>
    <w:rsid w:val="005967CC"/>
    <w:rsid w:val="005B0BE1"/>
    <w:rsid w:val="005B43EA"/>
    <w:rsid w:val="005D42B4"/>
    <w:rsid w:val="005E02E6"/>
    <w:rsid w:val="005E5E5B"/>
    <w:rsid w:val="005E60C5"/>
    <w:rsid w:val="00601D47"/>
    <w:rsid w:val="0060330F"/>
    <w:rsid w:val="00605F84"/>
    <w:rsid w:val="0061033E"/>
    <w:rsid w:val="00611E36"/>
    <w:rsid w:val="00620306"/>
    <w:rsid w:val="0062244D"/>
    <w:rsid w:val="006251D8"/>
    <w:rsid w:val="006300AC"/>
    <w:rsid w:val="00631DF0"/>
    <w:rsid w:val="00644BA5"/>
    <w:rsid w:val="00653A2A"/>
    <w:rsid w:val="00653C91"/>
    <w:rsid w:val="00653E1B"/>
    <w:rsid w:val="00660B8D"/>
    <w:rsid w:val="006611D2"/>
    <w:rsid w:val="00665AA2"/>
    <w:rsid w:val="00684A43"/>
    <w:rsid w:val="0069133E"/>
    <w:rsid w:val="00696499"/>
    <w:rsid w:val="00696BD0"/>
    <w:rsid w:val="006A1D0D"/>
    <w:rsid w:val="006B12F0"/>
    <w:rsid w:val="006B143A"/>
    <w:rsid w:val="006B4F22"/>
    <w:rsid w:val="006C4DCD"/>
    <w:rsid w:val="006C60B5"/>
    <w:rsid w:val="006D2D7D"/>
    <w:rsid w:val="006D4C2D"/>
    <w:rsid w:val="006D7BE7"/>
    <w:rsid w:val="006F1FB0"/>
    <w:rsid w:val="006F28E4"/>
    <w:rsid w:val="006F2F1B"/>
    <w:rsid w:val="006F3623"/>
    <w:rsid w:val="006F70FA"/>
    <w:rsid w:val="00700DAA"/>
    <w:rsid w:val="00703B41"/>
    <w:rsid w:val="00704205"/>
    <w:rsid w:val="00711F64"/>
    <w:rsid w:val="00715CAF"/>
    <w:rsid w:val="00716156"/>
    <w:rsid w:val="00717575"/>
    <w:rsid w:val="00733BE9"/>
    <w:rsid w:val="00736273"/>
    <w:rsid w:val="00743503"/>
    <w:rsid w:val="00745943"/>
    <w:rsid w:val="00760F8E"/>
    <w:rsid w:val="00762EA1"/>
    <w:rsid w:val="007721A7"/>
    <w:rsid w:val="00773AD8"/>
    <w:rsid w:val="00776E8F"/>
    <w:rsid w:val="007804D4"/>
    <w:rsid w:val="007828CE"/>
    <w:rsid w:val="00785775"/>
    <w:rsid w:val="0079092C"/>
    <w:rsid w:val="00792D3B"/>
    <w:rsid w:val="007A3CCD"/>
    <w:rsid w:val="007B0F42"/>
    <w:rsid w:val="007B1A52"/>
    <w:rsid w:val="007B1A62"/>
    <w:rsid w:val="007B7EEB"/>
    <w:rsid w:val="007C3BB7"/>
    <w:rsid w:val="007C6D27"/>
    <w:rsid w:val="007D0023"/>
    <w:rsid w:val="007D004D"/>
    <w:rsid w:val="007D4110"/>
    <w:rsid w:val="007D51E0"/>
    <w:rsid w:val="007D6A58"/>
    <w:rsid w:val="007E3294"/>
    <w:rsid w:val="007F2FAD"/>
    <w:rsid w:val="007F3B5A"/>
    <w:rsid w:val="00810E7F"/>
    <w:rsid w:val="00814F8B"/>
    <w:rsid w:val="00822263"/>
    <w:rsid w:val="00822AF3"/>
    <w:rsid w:val="00830D8A"/>
    <w:rsid w:val="00837A39"/>
    <w:rsid w:val="00837B1B"/>
    <w:rsid w:val="0086581D"/>
    <w:rsid w:val="0086604A"/>
    <w:rsid w:val="00872590"/>
    <w:rsid w:val="008733D9"/>
    <w:rsid w:val="008733E1"/>
    <w:rsid w:val="00874DAB"/>
    <w:rsid w:val="008908BA"/>
    <w:rsid w:val="00893A44"/>
    <w:rsid w:val="008A6A58"/>
    <w:rsid w:val="008A7390"/>
    <w:rsid w:val="008A766F"/>
    <w:rsid w:val="008B20BA"/>
    <w:rsid w:val="008D0668"/>
    <w:rsid w:val="008D37C3"/>
    <w:rsid w:val="008E3274"/>
    <w:rsid w:val="008E7996"/>
    <w:rsid w:val="008F2F1C"/>
    <w:rsid w:val="008F3A84"/>
    <w:rsid w:val="008F6B0B"/>
    <w:rsid w:val="0090193C"/>
    <w:rsid w:val="009024A3"/>
    <w:rsid w:val="00904B0E"/>
    <w:rsid w:val="00907707"/>
    <w:rsid w:val="00907809"/>
    <w:rsid w:val="00911049"/>
    <w:rsid w:val="0091778F"/>
    <w:rsid w:val="00920050"/>
    <w:rsid w:val="0092254A"/>
    <w:rsid w:val="00923934"/>
    <w:rsid w:val="009244A3"/>
    <w:rsid w:val="009320A7"/>
    <w:rsid w:val="00933510"/>
    <w:rsid w:val="009363D4"/>
    <w:rsid w:val="009368BC"/>
    <w:rsid w:val="00943CB1"/>
    <w:rsid w:val="00943F51"/>
    <w:rsid w:val="00951E37"/>
    <w:rsid w:val="0096175B"/>
    <w:rsid w:val="00966DDC"/>
    <w:rsid w:val="00970AC4"/>
    <w:rsid w:val="00974914"/>
    <w:rsid w:val="0098566D"/>
    <w:rsid w:val="00990121"/>
    <w:rsid w:val="0099029C"/>
    <w:rsid w:val="00996F05"/>
    <w:rsid w:val="00997832"/>
    <w:rsid w:val="009A062F"/>
    <w:rsid w:val="009A23CB"/>
    <w:rsid w:val="009A2B3B"/>
    <w:rsid w:val="009A44B9"/>
    <w:rsid w:val="009A7457"/>
    <w:rsid w:val="009B7B66"/>
    <w:rsid w:val="009C6933"/>
    <w:rsid w:val="009C6DD5"/>
    <w:rsid w:val="009D2BC7"/>
    <w:rsid w:val="009D3311"/>
    <w:rsid w:val="009D3BFA"/>
    <w:rsid w:val="009D6B42"/>
    <w:rsid w:val="009E7F38"/>
    <w:rsid w:val="00A035A8"/>
    <w:rsid w:val="00A04DEF"/>
    <w:rsid w:val="00A061C1"/>
    <w:rsid w:val="00A06D8E"/>
    <w:rsid w:val="00A114CC"/>
    <w:rsid w:val="00A203E5"/>
    <w:rsid w:val="00A21887"/>
    <w:rsid w:val="00A2478A"/>
    <w:rsid w:val="00A26E36"/>
    <w:rsid w:val="00A30485"/>
    <w:rsid w:val="00A3437F"/>
    <w:rsid w:val="00A5542F"/>
    <w:rsid w:val="00A56587"/>
    <w:rsid w:val="00A65969"/>
    <w:rsid w:val="00A67243"/>
    <w:rsid w:val="00A67770"/>
    <w:rsid w:val="00A714EA"/>
    <w:rsid w:val="00A83F54"/>
    <w:rsid w:val="00A879A6"/>
    <w:rsid w:val="00A92521"/>
    <w:rsid w:val="00A92B3C"/>
    <w:rsid w:val="00A9464A"/>
    <w:rsid w:val="00A96840"/>
    <w:rsid w:val="00A972F0"/>
    <w:rsid w:val="00AB4104"/>
    <w:rsid w:val="00AB538E"/>
    <w:rsid w:val="00AB6AB2"/>
    <w:rsid w:val="00AB79F6"/>
    <w:rsid w:val="00AC2134"/>
    <w:rsid w:val="00AD2041"/>
    <w:rsid w:val="00AE2C08"/>
    <w:rsid w:val="00B01600"/>
    <w:rsid w:val="00B07051"/>
    <w:rsid w:val="00B14C69"/>
    <w:rsid w:val="00B15AFC"/>
    <w:rsid w:val="00B173FE"/>
    <w:rsid w:val="00B22218"/>
    <w:rsid w:val="00B25084"/>
    <w:rsid w:val="00B27A60"/>
    <w:rsid w:val="00B32F70"/>
    <w:rsid w:val="00B33CBF"/>
    <w:rsid w:val="00B36F2D"/>
    <w:rsid w:val="00B3769E"/>
    <w:rsid w:val="00B43178"/>
    <w:rsid w:val="00B47663"/>
    <w:rsid w:val="00B5396F"/>
    <w:rsid w:val="00B57E42"/>
    <w:rsid w:val="00B60FB0"/>
    <w:rsid w:val="00B63020"/>
    <w:rsid w:val="00B64C3C"/>
    <w:rsid w:val="00B80111"/>
    <w:rsid w:val="00B80655"/>
    <w:rsid w:val="00B81BF4"/>
    <w:rsid w:val="00B86D46"/>
    <w:rsid w:val="00B93691"/>
    <w:rsid w:val="00BA043A"/>
    <w:rsid w:val="00BA2CA1"/>
    <w:rsid w:val="00BA7B8B"/>
    <w:rsid w:val="00BB2FEA"/>
    <w:rsid w:val="00BC183B"/>
    <w:rsid w:val="00BD2AF5"/>
    <w:rsid w:val="00BD4A5E"/>
    <w:rsid w:val="00BD5A31"/>
    <w:rsid w:val="00BD6D2A"/>
    <w:rsid w:val="00BD6EA4"/>
    <w:rsid w:val="00BE0DED"/>
    <w:rsid w:val="00BE417F"/>
    <w:rsid w:val="00BE5FE4"/>
    <w:rsid w:val="00BE77B9"/>
    <w:rsid w:val="00C02893"/>
    <w:rsid w:val="00C03991"/>
    <w:rsid w:val="00C03C41"/>
    <w:rsid w:val="00C05A1B"/>
    <w:rsid w:val="00C06855"/>
    <w:rsid w:val="00C11319"/>
    <w:rsid w:val="00C12C97"/>
    <w:rsid w:val="00C12D1D"/>
    <w:rsid w:val="00C17144"/>
    <w:rsid w:val="00C316B2"/>
    <w:rsid w:val="00C3561A"/>
    <w:rsid w:val="00C53D5A"/>
    <w:rsid w:val="00C57B02"/>
    <w:rsid w:val="00C61895"/>
    <w:rsid w:val="00C65656"/>
    <w:rsid w:val="00C740A8"/>
    <w:rsid w:val="00C7435C"/>
    <w:rsid w:val="00C8248C"/>
    <w:rsid w:val="00C90535"/>
    <w:rsid w:val="00C96B45"/>
    <w:rsid w:val="00C96BC8"/>
    <w:rsid w:val="00CA61DF"/>
    <w:rsid w:val="00CD13EA"/>
    <w:rsid w:val="00CD2C37"/>
    <w:rsid w:val="00CD3E80"/>
    <w:rsid w:val="00CE7613"/>
    <w:rsid w:val="00CF1D6F"/>
    <w:rsid w:val="00D00DFC"/>
    <w:rsid w:val="00D158FC"/>
    <w:rsid w:val="00D215CF"/>
    <w:rsid w:val="00D30C26"/>
    <w:rsid w:val="00D30C99"/>
    <w:rsid w:val="00D32426"/>
    <w:rsid w:val="00D415C8"/>
    <w:rsid w:val="00D431D1"/>
    <w:rsid w:val="00D44FEF"/>
    <w:rsid w:val="00D475D8"/>
    <w:rsid w:val="00D512A6"/>
    <w:rsid w:val="00D56769"/>
    <w:rsid w:val="00D60092"/>
    <w:rsid w:val="00D67408"/>
    <w:rsid w:val="00D76196"/>
    <w:rsid w:val="00D91EEC"/>
    <w:rsid w:val="00D94CB8"/>
    <w:rsid w:val="00D9562F"/>
    <w:rsid w:val="00DA2224"/>
    <w:rsid w:val="00DA690E"/>
    <w:rsid w:val="00DB58FE"/>
    <w:rsid w:val="00DC042F"/>
    <w:rsid w:val="00DC249A"/>
    <w:rsid w:val="00DD1A8A"/>
    <w:rsid w:val="00DD2480"/>
    <w:rsid w:val="00DD25A8"/>
    <w:rsid w:val="00DD3580"/>
    <w:rsid w:val="00DD5DE4"/>
    <w:rsid w:val="00DE11A0"/>
    <w:rsid w:val="00DE1E40"/>
    <w:rsid w:val="00DE4A00"/>
    <w:rsid w:val="00DE62BF"/>
    <w:rsid w:val="00DF551C"/>
    <w:rsid w:val="00DF7BC6"/>
    <w:rsid w:val="00E01983"/>
    <w:rsid w:val="00E02592"/>
    <w:rsid w:val="00E101DA"/>
    <w:rsid w:val="00E12296"/>
    <w:rsid w:val="00E22F7D"/>
    <w:rsid w:val="00E245F4"/>
    <w:rsid w:val="00E378FB"/>
    <w:rsid w:val="00E37D5C"/>
    <w:rsid w:val="00E4327B"/>
    <w:rsid w:val="00E619FC"/>
    <w:rsid w:val="00E66119"/>
    <w:rsid w:val="00E760D2"/>
    <w:rsid w:val="00E76EC2"/>
    <w:rsid w:val="00E77CC2"/>
    <w:rsid w:val="00E8347D"/>
    <w:rsid w:val="00E87475"/>
    <w:rsid w:val="00E91F16"/>
    <w:rsid w:val="00E9213F"/>
    <w:rsid w:val="00E964AD"/>
    <w:rsid w:val="00E97EBE"/>
    <w:rsid w:val="00EA3A66"/>
    <w:rsid w:val="00EA53A2"/>
    <w:rsid w:val="00EB24DC"/>
    <w:rsid w:val="00EB520E"/>
    <w:rsid w:val="00EB532D"/>
    <w:rsid w:val="00EC1129"/>
    <w:rsid w:val="00EC2751"/>
    <w:rsid w:val="00EC5A0B"/>
    <w:rsid w:val="00ED4AF2"/>
    <w:rsid w:val="00ED75F1"/>
    <w:rsid w:val="00EE0828"/>
    <w:rsid w:val="00EE11CA"/>
    <w:rsid w:val="00EE1A1C"/>
    <w:rsid w:val="00EE4440"/>
    <w:rsid w:val="00EE764E"/>
    <w:rsid w:val="00EE7FE6"/>
    <w:rsid w:val="00EF4028"/>
    <w:rsid w:val="00EF5BDB"/>
    <w:rsid w:val="00F23AD4"/>
    <w:rsid w:val="00F25808"/>
    <w:rsid w:val="00F26DAB"/>
    <w:rsid w:val="00F272E5"/>
    <w:rsid w:val="00F31D8E"/>
    <w:rsid w:val="00F359CD"/>
    <w:rsid w:val="00F578C2"/>
    <w:rsid w:val="00F627CE"/>
    <w:rsid w:val="00F7386D"/>
    <w:rsid w:val="00F7719B"/>
    <w:rsid w:val="00F8151D"/>
    <w:rsid w:val="00F91349"/>
    <w:rsid w:val="00F9408D"/>
    <w:rsid w:val="00F9591F"/>
    <w:rsid w:val="00FA3569"/>
    <w:rsid w:val="00FA3CB0"/>
    <w:rsid w:val="00FA5475"/>
    <w:rsid w:val="00FA6DCD"/>
    <w:rsid w:val="00FB2B99"/>
    <w:rsid w:val="00FB7120"/>
    <w:rsid w:val="00FC2A1D"/>
    <w:rsid w:val="00FC37AA"/>
    <w:rsid w:val="00FD0199"/>
    <w:rsid w:val="00FD11DC"/>
    <w:rsid w:val="00FE0416"/>
    <w:rsid w:val="00FE74EC"/>
    <w:rsid w:val="00FE77BB"/>
    <w:rsid w:val="00FF0408"/>
    <w:rsid w:val="00FF0A19"/>
    <w:rsid w:val="00FF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D9A47-770C-4BB9-B328-12AB0999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paragraph" w:customStyle="1" w:styleId="Level1Bullet">
    <w:name w:val="Level 1 Bullet"/>
    <w:basedOn w:val="Normal"/>
    <w:rsid w:val="0079092C"/>
    <w:pPr>
      <w:numPr>
        <w:numId w:val="30"/>
      </w:numPr>
      <w:tabs>
        <w:tab w:val="left" w:pos="360"/>
        <w:tab w:val="left" w:pos="1080"/>
      </w:tabs>
      <w:spacing w:before="120"/>
    </w:pPr>
  </w:style>
  <w:style w:type="paragraph" w:customStyle="1" w:styleId="MarginBulletCharChar">
    <w:name w:val="Margin Bullet Char Char"/>
    <w:basedOn w:val="Normal"/>
    <w:rsid w:val="0079092C"/>
    <w:pPr>
      <w:numPr>
        <w:numId w:val="31"/>
      </w:numPr>
      <w:tabs>
        <w:tab w:val="left" w:pos="360"/>
        <w:tab w:val="left" w:pos="1440"/>
      </w:tabs>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www.hud.gov/offices/pih/centers/sac/conversion.cfm"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adm/hudclips/notices/pih/07pihnotices.cfm" TargetMode="External"/><Relationship Id="rId42" Type="http://schemas.openxmlformats.org/officeDocument/2006/relationships/hyperlink" Target="http://ecfr.gpoaccess.gov/cgi/t/text/text-idx?c=ecfr&amp;sid=663ef5e048922c731853f513acbdfa81&amp;rgn=div5&amp;view=text&amp;node=24:4.0.3.1.3&amp;idno=24" TargetMode="External"/><Relationship Id="rId47" Type="http://schemas.openxmlformats.org/officeDocument/2006/relationships/hyperlink" Target="http://ecfr.gpoaccess.gov/cgi/t/text/text-idx?c=ecfr&amp;sid=929855241bbc0873ac4be47579a4d2bf&amp;rgn=div5&amp;view=text&amp;node=24:4.0.3.1.3&amp;idno=24" TargetMode="External"/><Relationship Id="rId50" Type="http://schemas.openxmlformats.org/officeDocument/2006/relationships/header" Target="header5.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www.hud.gov/offices/pih/programs/ph/hope6/index.cfm"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ecfr.gpoaccess.gov/cgi/t/text/text-idx?c=ecfr&amp;sid=f41eb312b1425d2a95a2478fde61e11f&amp;rgn=div5&amp;view=text&amp;node=24:4.0.3.1.3&amp;idno=24" TargetMode="Externa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portal.hud.gov/hudportal/HUD?src=/program_offices/administration/hudclips/notices/pih" TargetMode="External"/><Relationship Id="rId41" Type="http://schemas.openxmlformats.org/officeDocument/2006/relationships/hyperlink" Target="http://ecfr.gpoaccess.gov/cgi/t/text/text-idx?c=ecfr&amp;sid=b44bf19bef93dd31287608d2c687e271&amp;rgn=div5&amp;view=text&amp;node=24:4.0.3.1.24&amp;idno=24"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www.hud.gov/offices/pih/centers/sac/demo_dispo/index.cfm" TargetMode="External"/><Relationship Id="rId40" Type="http://schemas.openxmlformats.org/officeDocument/2006/relationships/hyperlink" Target="http://ecfr.gpoaccess.gov/cgi/t/text/text-idx?c=ecfr&amp;sid=13734845220744370804c20da2294a03&amp;rgn=div5&amp;view=text&amp;node=24:4.0.3.1.3&amp;idno=24"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www.hud.gov/offices/adm/hudclips/notices/pih/07pihnotices.cfm" TargetMode="External"/><Relationship Id="rId49" Type="http://schemas.openxmlformats.org/officeDocument/2006/relationships/header" Target="header4.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cfr.gpoaccess.gov/cgi/t/text/text-idx?c=ecfr&amp;sid=b44bf19bef93dd31287608d2c687e271&amp;rgn=div5&amp;view=text&amp;node=24:4.0.3.1.3&amp;idno=24" TargetMode="External"/><Relationship Id="rId31" Type="http://schemas.openxmlformats.org/officeDocument/2006/relationships/hyperlink" Target="http://ecfr.gpoaccess.gov/cgi/t/text/text-idx?c=ecfr&amp;sid=31b6a8e6f1110b36cc115eb6e4d5e3b4&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www.hud.gov/offices/pih/programs/ph/hope6/index.cfm" TargetMode="External"/><Relationship Id="rId43" Type="http://schemas.openxmlformats.org/officeDocument/2006/relationships/hyperlink" Target="http://ecfr.gpoaccess.gov/cgi/t/text/text-idx?c=ecfr&amp;sid=13734845220744370804c20da2294a03&amp;rgn=div5&amp;view=text&amp;node=24:4.0.3.1.3&amp;idno=24" TargetMode="External"/><Relationship Id="rId48" Type="http://schemas.openxmlformats.org/officeDocument/2006/relationships/hyperlink" Target="http://ecfr.gpoaccess.gov/cgi/t/text/text-idx?c=ecfr&amp;sid=0885bb33f96a064e6519e07d66d87fd6&amp;rgn=div5&amp;view=text&amp;node=24:4.0.3.1.3&amp;idno=24" TargetMode="External"/><Relationship Id="rId56"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00C7-FA84-4A9F-B205-4D92C11B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38989</CharactersWithSpaces>
  <SharedDoc>false</SharedDoc>
  <HLinks>
    <vt:vector size="210" baseType="variant">
      <vt:variant>
        <vt:i4>1245261</vt:i4>
      </vt:variant>
      <vt:variant>
        <vt:i4>271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4849732</vt:i4>
      </vt:variant>
      <vt:variant>
        <vt:i4>268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4784159</vt:i4>
      </vt:variant>
      <vt:variant>
        <vt:i4>265</vt:i4>
      </vt:variant>
      <vt:variant>
        <vt:i4>0</vt:i4>
      </vt:variant>
      <vt:variant>
        <vt:i4>5</vt:i4>
      </vt:variant>
      <vt:variant>
        <vt:lpwstr>http://ecfr.gpoaccess.gov/cgi/t/text/text-idx?c=ecfr&amp;sid=f41eb312b1425d2a95a2478fde61e11f&amp;rgn=div5&amp;view=text&amp;node=24:4.0.3.1.3&amp;idno=24</vt:lpwstr>
      </vt:variant>
      <vt:variant>
        <vt:lpwstr>24:4.0.3.1.3.2.5.12</vt:lpwstr>
      </vt:variant>
      <vt:variant>
        <vt:i4>4259860</vt:i4>
      </vt:variant>
      <vt:variant>
        <vt:i4>262</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259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256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4849738</vt:i4>
      </vt:variant>
      <vt:variant>
        <vt:i4>253</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3473468</vt:i4>
      </vt:variant>
      <vt:variant>
        <vt:i4>247</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5046292</vt:i4>
      </vt:variant>
      <vt:variant>
        <vt:i4>241</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69</vt:i4>
      </vt:variant>
      <vt:variant>
        <vt:i4>238</vt:i4>
      </vt:variant>
      <vt:variant>
        <vt:i4>0</vt:i4>
      </vt:variant>
      <vt:variant>
        <vt:i4>5</vt:i4>
      </vt:variant>
      <vt:variant>
        <vt:lpwstr>http://www.hud.gov/offices/pih/centers/sac/conversion.cfm</vt:lpwstr>
      </vt:variant>
      <vt:variant>
        <vt:lpwstr/>
      </vt:variant>
      <vt:variant>
        <vt:i4>5046292</vt:i4>
      </vt:variant>
      <vt:variant>
        <vt:i4>232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2031662</vt:i4>
      </vt:variant>
      <vt:variant>
        <vt:i4>229</vt:i4>
      </vt:variant>
      <vt:variant>
        <vt:i4>0</vt:i4>
      </vt:variant>
      <vt:variant>
        <vt:i4>5</vt:i4>
      </vt:variant>
      <vt:variant>
        <vt:lpwstr>http://www.hud.gov/offices/pih/centers/sac/demo_dispo/index.cfm</vt:lpwstr>
      </vt:variant>
      <vt:variant>
        <vt:lpwstr/>
      </vt:variant>
      <vt:variant>
        <vt:i4>4980824</vt:i4>
      </vt:variant>
      <vt:variant>
        <vt:i4>223</vt:i4>
      </vt:variant>
      <vt:variant>
        <vt:i4>0</vt:i4>
      </vt:variant>
      <vt:variant>
        <vt:i4>5</vt:i4>
      </vt:variant>
      <vt:variant>
        <vt:lpwstr>http://www.hud.gov/offices/adm/hudclips/notices/pih/07pihnotices.cfm</vt:lpwstr>
      </vt:variant>
      <vt:variant>
        <vt:lpwstr/>
      </vt:variant>
      <vt:variant>
        <vt:i4>2424950</vt:i4>
      </vt:variant>
      <vt:variant>
        <vt:i4>220</vt:i4>
      </vt:variant>
      <vt:variant>
        <vt:i4>0</vt:i4>
      </vt:variant>
      <vt:variant>
        <vt:i4>5</vt:i4>
      </vt:variant>
      <vt:variant>
        <vt:lpwstr>http://www.hud.gov/offices/pih/programs/ph/hope6/index.cfm</vt:lpwstr>
      </vt:variant>
      <vt:variant>
        <vt:lpwstr/>
      </vt:variant>
      <vt:variant>
        <vt:i4>4980824</vt:i4>
      </vt:variant>
      <vt:variant>
        <vt:i4>214</vt:i4>
      </vt:variant>
      <vt:variant>
        <vt:i4>0</vt:i4>
      </vt:variant>
      <vt:variant>
        <vt:i4>5</vt:i4>
      </vt:variant>
      <vt:variant>
        <vt:lpwstr>http://www.hud.gov/offices/adm/hudclips/notices/pih/07pihnotices.cfm</vt:lpwstr>
      </vt:variant>
      <vt:variant>
        <vt:lpwstr/>
      </vt:variant>
      <vt:variant>
        <vt:i4>2424950</vt:i4>
      </vt:variant>
      <vt:variant>
        <vt:i4>211</vt:i4>
      </vt:variant>
      <vt:variant>
        <vt:i4>0</vt:i4>
      </vt:variant>
      <vt:variant>
        <vt:i4>5</vt:i4>
      </vt:variant>
      <vt:variant>
        <vt:lpwstr>http://www.hud.gov/offices/pih/programs/ph/hope6/index.cfm</vt:lpwstr>
      </vt:variant>
      <vt:variant>
        <vt:lpwstr/>
      </vt:variant>
      <vt:variant>
        <vt:i4>4259860</vt:i4>
      </vt:variant>
      <vt:variant>
        <vt:i4>205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4980806</vt:i4>
      </vt:variant>
      <vt:variant>
        <vt:i4>202</vt:i4>
      </vt:variant>
      <vt:variant>
        <vt:i4>0</vt:i4>
      </vt:variant>
      <vt:variant>
        <vt:i4>5</vt:i4>
      </vt:variant>
      <vt:variant>
        <vt:lpwstr>http://ecfr.gpoaccess.gov/cgi/t/text/text-idx?c=ecfr&amp;sid=31b6a8e6f1110b36cc115eb6e4d5e3b4&amp;rgn=div5&amp;view=text&amp;node=24:4.0.3.1.3&amp;idno=24</vt:lpwstr>
      </vt:variant>
      <vt:variant>
        <vt:lpwstr>24:4.0.3.1.3.1.5.2</vt:lpwstr>
      </vt:variant>
      <vt:variant>
        <vt:i4>5046292</vt:i4>
      </vt:variant>
      <vt:variant>
        <vt:i4>199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1114153</vt:i4>
      </vt:variant>
      <vt:variant>
        <vt:i4>196</vt:i4>
      </vt:variant>
      <vt:variant>
        <vt:i4>0</vt:i4>
      </vt:variant>
      <vt:variant>
        <vt:i4>5</vt:i4>
      </vt:variant>
      <vt:variant>
        <vt:lpwstr>http://portal.hud.gov/hudportal/HUD?src=/program_offices/administration/hudclips/notices/pih</vt:lpwstr>
      </vt:variant>
      <vt:variant>
        <vt:lpwstr/>
      </vt:variant>
      <vt:variant>
        <vt:i4>5046292</vt:i4>
      </vt:variant>
      <vt:variant>
        <vt:i4>190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184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178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172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166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160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154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151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148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145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139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136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130</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127</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ariant>
        <vt:i4>2556013</vt:i4>
      </vt:variant>
      <vt:variant>
        <vt:i4>124</vt:i4>
      </vt:variant>
      <vt:variant>
        <vt:i4>0</vt:i4>
      </vt:variant>
      <vt:variant>
        <vt:i4>5</vt:i4>
      </vt:variant>
      <vt:variant>
        <vt:lpwstr>http://www.hud.gov/offices/adm/hudclips/forms/files/50077sl.doc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Tim Kitts</cp:lastModifiedBy>
  <cp:revision>6</cp:revision>
  <cp:lastPrinted>2016-09-20T18:25:00Z</cp:lastPrinted>
  <dcterms:created xsi:type="dcterms:W3CDTF">2017-08-24T15:59:00Z</dcterms:created>
  <dcterms:modified xsi:type="dcterms:W3CDTF">2017-08-24T17:02:00Z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